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F1D5" w14:textId="02D39E7C" w:rsidR="00FA37A7" w:rsidRPr="007303EA" w:rsidRDefault="005555F7" w:rsidP="00FA37A7">
      <w:pPr>
        <w:ind w:left="2835" w:right="545"/>
        <w:rPr>
          <w:rFonts w:ascii="Tahoma" w:hAnsi="Tahoma" w:cs="Tahoma"/>
          <w:b/>
          <w:color w:val="2F5496" w:themeColor="accent1" w:themeShade="BF"/>
          <w:sz w:val="10"/>
          <w:szCs w:val="10"/>
        </w:rPr>
      </w:pPr>
      <w:r>
        <w:rPr>
          <w:noProof/>
        </w:rPr>
        <mc:AlternateContent>
          <mc:Choice Requires="wps">
            <w:drawing>
              <wp:anchor distT="45720" distB="45720" distL="114300" distR="114300" simplePos="0" relativeHeight="251695104" behindDoc="0" locked="0" layoutInCell="1" allowOverlap="1" wp14:anchorId="6E0BEFD8" wp14:editId="3A911A41">
                <wp:simplePos x="0" y="0"/>
                <wp:positionH relativeFrom="column">
                  <wp:posOffset>-742315</wp:posOffset>
                </wp:positionH>
                <wp:positionV relativeFrom="paragraph">
                  <wp:posOffset>189230</wp:posOffset>
                </wp:positionV>
                <wp:extent cx="2559050" cy="83013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8301355"/>
                        </a:xfrm>
                        <a:prstGeom prst="rect">
                          <a:avLst/>
                        </a:prstGeom>
                        <a:noFill/>
                        <a:ln w="9525">
                          <a:noFill/>
                          <a:miter lim="800000"/>
                          <a:headEnd/>
                          <a:tailEnd/>
                        </a:ln>
                      </wps:spPr>
                      <wps:txbx>
                        <w:txbxContent>
                          <w:p w14:paraId="341C00A0" w14:textId="097706AF" w:rsidR="005555F7" w:rsidRDefault="00CD3BDA" w:rsidP="005555F7">
                            <w:pPr>
                              <w:pStyle w:val="NoSpacing"/>
                              <w:rPr>
                                <w:rFonts w:ascii="Tahoma" w:hAnsi="Tahoma" w:cs="Tahoma"/>
                                <w:b/>
                                <w:bCs/>
                                <w:sz w:val="18"/>
                                <w:szCs w:val="18"/>
                              </w:rPr>
                            </w:pPr>
                            <w:r>
                              <w:rPr>
                                <w:rFonts w:ascii="Tahoma" w:hAnsi="Tahoma" w:cs="Tahoma"/>
                                <w:b/>
                                <w:bCs/>
                                <w:sz w:val="18"/>
                                <w:szCs w:val="18"/>
                              </w:rPr>
                              <w:object w:dxaOrig="4035" w:dyaOrig="12165" w14:anchorId="72D35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3pt;height:588.35pt" o:ole="">
                                  <v:imagedata r:id="rId8" o:title=""/>
                                </v:shape>
                                <o:OLEObject Type="Link" ProgID="Excel.Sheet.12" ShapeID="_x0000_i1026" DrawAspect="Content" r:id="rId9" UpdateMode="Always">
                                  <o:LinkType>EnhancedMetaFile</o:LinkType>
                                  <o:LockedField>false</o:LockedField>
                                </o:OLEObject>
                              </w:object>
                            </w:r>
                          </w:p>
                          <w:p w14:paraId="75547A4D" w14:textId="77777777" w:rsidR="00B415F7" w:rsidRDefault="00B415F7" w:rsidP="005555F7">
                            <w:pPr>
                              <w:pStyle w:val="NoSpacing"/>
                              <w:rPr>
                                <w:rFonts w:ascii="Tahoma" w:hAnsi="Tahoma" w:cs="Tahoma"/>
                                <w:sz w:val="16"/>
                                <w:szCs w:val="16"/>
                              </w:rPr>
                            </w:pPr>
                          </w:p>
                          <w:p w14:paraId="02AD15C1" w14:textId="70E85D79" w:rsidR="005555F7" w:rsidRPr="005555F7" w:rsidRDefault="005555F7" w:rsidP="005555F7">
                            <w:pPr>
                              <w:pStyle w:val="NoSpacing"/>
                              <w:rPr>
                                <w:rFonts w:ascii="Tahoma" w:hAnsi="Tahoma" w:cs="Tahoma"/>
                                <w:sz w:val="16"/>
                                <w:szCs w:val="16"/>
                              </w:rPr>
                            </w:pPr>
                          </w:p>
                          <w:p w14:paraId="25C4CB54" w14:textId="77777777" w:rsidR="005555F7" w:rsidRPr="005555F7" w:rsidRDefault="005555F7" w:rsidP="005555F7">
                            <w:pPr>
                              <w:pStyle w:val="NoSpacing"/>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BEFD8" id="_x0000_t202" coordsize="21600,21600" o:spt="202" path="m,l,21600r21600,l21600,xe">
                <v:stroke joinstyle="miter"/>
                <v:path gradientshapeok="t" o:connecttype="rect"/>
              </v:shapetype>
              <v:shape id="Text Box 2" o:spid="_x0000_s1026" type="#_x0000_t202" style="position:absolute;left:0;text-align:left;margin-left:-58.45pt;margin-top:14.9pt;width:201.5pt;height:653.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" filled="f" stroked="f">
                <v:textbox>
                  <w:txbxContent>
                    <w:p w14:paraId="341C00A0" w14:textId="097706AF" w:rsidR="005555F7" w:rsidRDefault="00CD3BDA" w:rsidP="005555F7">
                      <w:pPr>
                        <w:pStyle w:val="NoSpacing"/>
                        <w:rPr>
                          <w:rFonts w:ascii="Tahoma" w:hAnsi="Tahoma" w:cs="Tahoma"/>
                          <w:b/>
                          <w:bCs/>
                          <w:sz w:val="18"/>
                          <w:szCs w:val="18"/>
                        </w:rPr>
                      </w:pPr>
                      <w:r>
                        <w:rPr>
                          <w:rFonts w:ascii="Tahoma" w:hAnsi="Tahoma" w:cs="Tahoma"/>
                          <w:b/>
                          <w:bCs/>
                          <w:sz w:val="18"/>
                          <w:szCs w:val="18"/>
                        </w:rPr>
                        <w:object w:dxaOrig="4035" w:dyaOrig="12165" w14:anchorId="72D356E2">
                          <v:shape id="_x0000_i1026" type="#_x0000_t75" style="width:191.3pt;height:588.35pt" o:ole="">
                            <v:imagedata r:id="rId8" o:title=""/>
                          </v:shape>
                          <o:OLEObject Type="Link" ProgID="Excel.Sheet.12" ShapeID="_x0000_i1026" DrawAspect="Content" r:id="rId10" UpdateMode="Always">
                            <o:LinkType>EnhancedMetaFile</o:LinkType>
                            <o:LockedField>false</o:LockedField>
                          </o:OLEObject>
                        </w:object>
                      </w:r>
                    </w:p>
                    <w:p w14:paraId="75547A4D" w14:textId="77777777" w:rsidR="00B415F7" w:rsidRDefault="00B415F7" w:rsidP="005555F7">
                      <w:pPr>
                        <w:pStyle w:val="NoSpacing"/>
                        <w:rPr>
                          <w:rFonts w:ascii="Tahoma" w:hAnsi="Tahoma" w:cs="Tahoma"/>
                          <w:sz w:val="16"/>
                          <w:szCs w:val="16"/>
                        </w:rPr>
                      </w:pPr>
                    </w:p>
                    <w:p w14:paraId="02AD15C1" w14:textId="70E85D79" w:rsidR="005555F7" w:rsidRPr="005555F7" w:rsidRDefault="005555F7" w:rsidP="005555F7">
                      <w:pPr>
                        <w:pStyle w:val="NoSpacing"/>
                        <w:rPr>
                          <w:rFonts w:ascii="Tahoma" w:hAnsi="Tahoma" w:cs="Tahoma"/>
                          <w:sz w:val="16"/>
                          <w:szCs w:val="16"/>
                        </w:rPr>
                      </w:pPr>
                    </w:p>
                    <w:p w14:paraId="25C4CB54" w14:textId="77777777" w:rsidR="005555F7" w:rsidRPr="005555F7" w:rsidRDefault="005555F7" w:rsidP="005555F7">
                      <w:pPr>
                        <w:pStyle w:val="NoSpacing"/>
                        <w:rPr>
                          <w:rFonts w:ascii="Tahoma" w:hAnsi="Tahoma" w:cs="Tahoma"/>
                        </w:rPr>
                      </w:pPr>
                    </w:p>
                  </w:txbxContent>
                </v:textbox>
                <w10:wrap type="square"/>
              </v:shape>
            </w:pict>
          </mc:Fallback>
        </mc:AlternateContent>
      </w:r>
    </w:p>
    <w:p w14:paraId="2267A6EF" w14:textId="2BDA1425" w:rsidR="00585110" w:rsidRPr="004302BF" w:rsidRDefault="00E043D6" w:rsidP="00A13240">
      <w:pPr>
        <w:ind w:left="3261" w:right="545" w:hanging="2552"/>
        <w:rPr>
          <w:rFonts w:ascii="Tahoma" w:hAnsi="Tahoma" w:cs="Tahoma"/>
          <w:b/>
          <w:color w:val="2F5496" w:themeColor="accent1" w:themeShade="BF"/>
          <w:sz w:val="32"/>
          <w:szCs w:val="32"/>
        </w:rPr>
      </w:pPr>
      <w:proofErr w:type="spellStart"/>
      <w:r>
        <w:rPr>
          <w:rFonts w:ascii="Tahoma" w:hAnsi="Tahoma" w:cs="Tahoma"/>
          <w:b/>
          <w:color w:val="2F5496" w:themeColor="accent1" w:themeShade="BF"/>
          <w:sz w:val="32"/>
          <w:szCs w:val="32"/>
        </w:rPr>
        <w:t>Hartalega</w:t>
      </w:r>
      <w:proofErr w:type="spellEnd"/>
      <w:r>
        <w:rPr>
          <w:rFonts w:ascii="Tahoma" w:hAnsi="Tahoma" w:cs="Tahoma"/>
          <w:b/>
          <w:color w:val="2F5496" w:themeColor="accent1" w:themeShade="BF"/>
          <w:sz w:val="32"/>
          <w:szCs w:val="32"/>
        </w:rPr>
        <w:t xml:space="preserve"> Holdings</w:t>
      </w:r>
      <w:r w:rsidR="00585110" w:rsidRPr="004302BF">
        <w:rPr>
          <w:rFonts w:ascii="Tahoma" w:hAnsi="Tahoma" w:cs="Tahoma"/>
          <w:b/>
          <w:color w:val="2F5496" w:themeColor="accent1" w:themeShade="BF"/>
          <w:sz w:val="32"/>
          <w:szCs w:val="32"/>
        </w:rPr>
        <w:t xml:space="preserve"> </w:t>
      </w:r>
      <w:proofErr w:type="spellStart"/>
      <w:r w:rsidR="00585110" w:rsidRPr="004302BF">
        <w:rPr>
          <w:rFonts w:ascii="Tahoma" w:hAnsi="Tahoma" w:cs="Tahoma"/>
          <w:b/>
          <w:color w:val="2F5496" w:themeColor="accent1" w:themeShade="BF"/>
          <w:sz w:val="32"/>
          <w:szCs w:val="32"/>
        </w:rPr>
        <w:t>B</w:t>
      </w:r>
      <w:r w:rsidR="004302BF" w:rsidRPr="004302BF">
        <w:rPr>
          <w:rFonts w:ascii="Tahoma" w:hAnsi="Tahoma" w:cs="Tahoma"/>
          <w:b/>
          <w:color w:val="2F5496" w:themeColor="accent1" w:themeShade="BF"/>
          <w:sz w:val="32"/>
          <w:szCs w:val="32"/>
        </w:rPr>
        <w:t>er</w:t>
      </w:r>
      <w:r w:rsidR="00585110" w:rsidRPr="004302BF">
        <w:rPr>
          <w:rFonts w:ascii="Tahoma" w:hAnsi="Tahoma" w:cs="Tahoma"/>
          <w:b/>
          <w:color w:val="2F5496" w:themeColor="accent1" w:themeShade="BF"/>
          <w:sz w:val="32"/>
          <w:szCs w:val="32"/>
        </w:rPr>
        <w:t>h</w:t>
      </w:r>
      <w:r w:rsidR="004302BF">
        <w:rPr>
          <w:rFonts w:ascii="Tahoma" w:hAnsi="Tahoma" w:cs="Tahoma"/>
          <w:b/>
          <w:color w:val="2F5496" w:themeColor="accent1" w:themeShade="BF"/>
          <w:sz w:val="32"/>
          <w:szCs w:val="32"/>
        </w:rPr>
        <w:t>a</w:t>
      </w:r>
      <w:r w:rsidR="00585110" w:rsidRPr="004302BF">
        <w:rPr>
          <w:rFonts w:ascii="Tahoma" w:hAnsi="Tahoma" w:cs="Tahoma"/>
          <w:b/>
          <w:color w:val="2F5496" w:themeColor="accent1" w:themeShade="BF"/>
          <w:sz w:val="32"/>
          <w:szCs w:val="32"/>
        </w:rPr>
        <w:t>d</w:t>
      </w:r>
      <w:proofErr w:type="spellEnd"/>
    </w:p>
    <w:p w14:paraId="7133A6ED" w14:textId="4110A3A0" w:rsidR="00585110" w:rsidRPr="004302BF" w:rsidRDefault="000D1C4B" w:rsidP="00A13240">
      <w:pPr>
        <w:pStyle w:val="ListParagraph"/>
        <w:ind w:left="3261" w:right="545" w:hanging="2552"/>
        <w:rPr>
          <w:rFonts w:ascii="Tahoma" w:hAnsi="Tahoma" w:cs="Tahoma"/>
          <w:b/>
          <w:color w:val="7B7B7B" w:themeColor="accent3" w:themeShade="BF"/>
          <w:sz w:val="28"/>
          <w:szCs w:val="28"/>
          <w:lang w:val="en-MY"/>
        </w:rPr>
      </w:pPr>
      <w:r>
        <w:rPr>
          <w:rFonts w:ascii="Tahoma" w:hAnsi="Tahoma" w:cs="Tahoma"/>
          <w:b/>
          <w:color w:val="7B7B7B" w:themeColor="accent3" w:themeShade="BF"/>
          <w:sz w:val="28"/>
          <w:szCs w:val="28"/>
          <w:lang w:val="en-MY"/>
        </w:rPr>
        <w:t xml:space="preserve">Sprouting </w:t>
      </w:r>
      <w:r w:rsidR="002B7B2B">
        <w:rPr>
          <w:rFonts w:ascii="Tahoma" w:hAnsi="Tahoma" w:cs="Tahoma"/>
          <w:b/>
          <w:color w:val="7B7B7B" w:themeColor="accent3" w:themeShade="BF"/>
          <w:sz w:val="28"/>
          <w:szCs w:val="28"/>
          <w:lang w:val="en-MY"/>
        </w:rPr>
        <w:t xml:space="preserve">Green </w:t>
      </w:r>
      <w:r>
        <w:rPr>
          <w:rFonts w:ascii="Tahoma" w:hAnsi="Tahoma" w:cs="Tahoma"/>
          <w:b/>
          <w:color w:val="7B7B7B" w:themeColor="accent3" w:themeShade="BF"/>
          <w:sz w:val="28"/>
          <w:szCs w:val="28"/>
          <w:lang w:val="en-MY"/>
        </w:rPr>
        <w:t>S</w:t>
      </w:r>
      <w:r w:rsidR="002B7B2B">
        <w:rPr>
          <w:rFonts w:ascii="Tahoma" w:hAnsi="Tahoma" w:cs="Tahoma"/>
          <w:b/>
          <w:color w:val="7B7B7B" w:themeColor="accent3" w:themeShade="BF"/>
          <w:sz w:val="28"/>
          <w:szCs w:val="28"/>
          <w:lang w:val="en-MY"/>
        </w:rPr>
        <w:t xml:space="preserve">hoots </w:t>
      </w:r>
      <w:proofErr w:type="gramStart"/>
      <w:r>
        <w:rPr>
          <w:rFonts w:ascii="Tahoma" w:hAnsi="Tahoma" w:cs="Tahoma"/>
          <w:b/>
          <w:color w:val="7B7B7B" w:themeColor="accent3" w:themeShade="BF"/>
          <w:sz w:val="28"/>
          <w:szCs w:val="28"/>
          <w:lang w:val="en-MY"/>
        </w:rPr>
        <w:t>O</w:t>
      </w:r>
      <w:r w:rsidR="002B7B2B">
        <w:rPr>
          <w:rFonts w:ascii="Tahoma" w:hAnsi="Tahoma" w:cs="Tahoma"/>
          <w:b/>
          <w:color w:val="7B7B7B" w:themeColor="accent3" w:themeShade="BF"/>
          <w:sz w:val="28"/>
          <w:szCs w:val="28"/>
          <w:lang w:val="en-MY"/>
        </w:rPr>
        <w:t>f</w:t>
      </w:r>
      <w:proofErr w:type="gramEnd"/>
      <w:r w:rsidR="002B7B2B">
        <w:rPr>
          <w:rFonts w:ascii="Tahoma" w:hAnsi="Tahoma" w:cs="Tahoma"/>
          <w:b/>
          <w:color w:val="7B7B7B" w:themeColor="accent3" w:themeShade="BF"/>
          <w:sz w:val="28"/>
          <w:szCs w:val="28"/>
          <w:lang w:val="en-MY"/>
        </w:rPr>
        <w:t xml:space="preserve"> </w:t>
      </w:r>
      <w:r>
        <w:rPr>
          <w:rFonts w:ascii="Tahoma" w:hAnsi="Tahoma" w:cs="Tahoma"/>
          <w:b/>
          <w:color w:val="7B7B7B" w:themeColor="accent3" w:themeShade="BF"/>
          <w:sz w:val="28"/>
          <w:szCs w:val="28"/>
          <w:lang w:val="en-MY"/>
        </w:rPr>
        <w:t>R</w:t>
      </w:r>
      <w:r w:rsidR="002B7B2B">
        <w:rPr>
          <w:rFonts w:ascii="Tahoma" w:hAnsi="Tahoma" w:cs="Tahoma"/>
          <w:b/>
          <w:color w:val="7B7B7B" w:themeColor="accent3" w:themeShade="BF"/>
          <w:sz w:val="28"/>
          <w:szCs w:val="28"/>
          <w:lang w:val="en-MY"/>
        </w:rPr>
        <w:t>ecovery</w:t>
      </w:r>
    </w:p>
    <w:p w14:paraId="19F32EB4" w14:textId="77777777" w:rsidR="00585110" w:rsidRPr="004302BF" w:rsidRDefault="00585110" w:rsidP="00A13240">
      <w:pPr>
        <w:pStyle w:val="NoSpacing"/>
        <w:ind w:left="3261" w:right="545" w:hanging="2552"/>
        <w:rPr>
          <w:rFonts w:ascii="Tahoma" w:hAnsi="Tahoma" w:cs="Tahoma"/>
          <w:b/>
          <w:bCs/>
          <w:sz w:val="24"/>
          <w:szCs w:val="24"/>
          <w:lang w:val="en-MY"/>
        </w:rPr>
      </w:pPr>
      <w:r w:rsidRPr="004302BF">
        <w:rPr>
          <w:rFonts w:ascii="Tahoma" w:hAnsi="Tahoma" w:cs="Tahoma"/>
          <w:b/>
          <w:bCs/>
          <w:sz w:val="24"/>
          <w:szCs w:val="24"/>
          <w:lang w:val="en-MY"/>
        </w:rPr>
        <w:t>Summary</w:t>
      </w:r>
    </w:p>
    <w:p w14:paraId="215380D7" w14:textId="77777777" w:rsidR="00585110" w:rsidRPr="004302BF" w:rsidRDefault="00585110" w:rsidP="00A13240">
      <w:pPr>
        <w:pStyle w:val="NoSpacing"/>
        <w:ind w:left="3261" w:right="545" w:hanging="2552"/>
        <w:rPr>
          <w:rFonts w:ascii="Tahoma" w:hAnsi="Tahoma" w:cs="Tahoma"/>
          <w:sz w:val="12"/>
          <w:szCs w:val="12"/>
          <w:lang w:val="en-MY"/>
        </w:rPr>
      </w:pPr>
    </w:p>
    <w:p w14:paraId="3DED21CE" w14:textId="7EB64E32" w:rsidR="00E043D6" w:rsidRPr="004302BF" w:rsidRDefault="000B7AB2" w:rsidP="00E043D6">
      <w:pPr>
        <w:pStyle w:val="ListParagraph"/>
        <w:numPr>
          <w:ilvl w:val="0"/>
          <w:numId w:val="1"/>
        </w:numPr>
        <w:ind w:left="3261" w:right="545" w:hanging="2552"/>
        <w:jc w:val="both"/>
        <w:rPr>
          <w:rFonts w:ascii="Tahoma" w:hAnsi="Tahoma" w:cs="Tahoma"/>
          <w:bCs/>
          <w:sz w:val="19"/>
          <w:szCs w:val="19"/>
          <w:lang w:val="en-MY"/>
        </w:rPr>
      </w:pPr>
      <w:r>
        <w:rPr>
          <w:rFonts w:ascii="Tahoma" w:hAnsi="Tahoma" w:cs="Tahoma"/>
          <w:b/>
          <w:bCs/>
          <w:sz w:val="19"/>
          <w:szCs w:val="19"/>
        </w:rPr>
        <w:t xml:space="preserve">While </w:t>
      </w:r>
      <w:r w:rsidR="0072459D" w:rsidRPr="0072459D">
        <w:rPr>
          <w:rFonts w:ascii="Tahoma" w:hAnsi="Tahoma" w:cs="Tahoma"/>
          <w:b/>
          <w:bCs/>
          <w:sz w:val="19"/>
          <w:szCs w:val="19"/>
        </w:rPr>
        <w:t xml:space="preserve">2QFY24 core net profit fell 2.3% </w:t>
      </w:r>
      <w:proofErr w:type="spellStart"/>
      <w:r w:rsidR="0072459D" w:rsidRPr="0072459D">
        <w:rPr>
          <w:rFonts w:ascii="Tahoma" w:hAnsi="Tahoma" w:cs="Tahoma"/>
          <w:b/>
          <w:bCs/>
          <w:sz w:val="19"/>
          <w:szCs w:val="19"/>
        </w:rPr>
        <w:t>yoy</w:t>
      </w:r>
      <w:proofErr w:type="spellEnd"/>
      <w:r w:rsidR="0072459D" w:rsidRPr="0072459D">
        <w:rPr>
          <w:rFonts w:ascii="Tahoma" w:hAnsi="Tahoma" w:cs="Tahoma"/>
          <w:b/>
          <w:bCs/>
          <w:sz w:val="19"/>
          <w:szCs w:val="19"/>
        </w:rPr>
        <w:t xml:space="preserve"> to RM27.7m, HARTA has returned to the black for the first time in past three quarters, driven improved operational landscape, coupled with lower raw material prices</w:t>
      </w:r>
      <w:r w:rsidR="0072459D">
        <w:rPr>
          <w:rFonts w:ascii="Tahoma" w:hAnsi="Tahoma" w:cs="Tahoma"/>
          <w:b/>
          <w:bCs/>
          <w:sz w:val="19"/>
          <w:szCs w:val="19"/>
        </w:rPr>
        <w:t>.</w:t>
      </w:r>
    </w:p>
    <w:p w14:paraId="4D36AA49" w14:textId="0AD144EB" w:rsidR="00E043D6" w:rsidRDefault="0072459D" w:rsidP="00E043D6">
      <w:pPr>
        <w:pStyle w:val="ListParagraph"/>
        <w:numPr>
          <w:ilvl w:val="0"/>
          <w:numId w:val="1"/>
        </w:numPr>
        <w:ind w:left="3261" w:right="545" w:hanging="2552"/>
        <w:jc w:val="both"/>
        <w:rPr>
          <w:rFonts w:ascii="Tahoma" w:hAnsi="Tahoma" w:cs="Tahoma"/>
          <w:b/>
          <w:sz w:val="19"/>
          <w:szCs w:val="19"/>
          <w:lang w:val="en-MY"/>
        </w:rPr>
      </w:pPr>
      <w:r>
        <w:rPr>
          <w:rFonts w:ascii="Tahoma" w:hAnsi="Tahoma" w:cs="Tahoma"/>
          <w:b/>
          <w:sz w:val="19"/>
          <w:szCs w:val="19"/>
          <w:lang w:val="en-MY"/>
        </w:rPr>
        <w:t>E</w:t>
      </w:r>
      <w:r w:rsidRPr="0072459D">
        <w:rPr>
          <w:rFonts w:ascii="Tahoma" w:hAnsi="Tahoma" w:cs="Tahoma"/>
          <w:b/>
          <w:sz w:val="19"/>
          <w:szCs w:val="19"/>
          <w:lang w:val="en-MY"/>
        </w:rPr>
        <w:t>xpect sequential and gradual recovery to stay pat in subsequent quarters</w:t>
      </w:r>
      <w:r w:rsidR="000B7AB2">
        <w:rPr>
          <w:rFonts w:ascii="Tahoma" w:hAnsi="Tahoma" w:cs="Tahoma"/>
          <w:b/>
          <w:sz w:val="19"/>
          <w:szCs w:val="19"/>
          <w:lang w:val="en-MY"/>
        </w:rPr>
        <w:t xml:space="preserve"> on signs of improved demand</w:t>
      </w:r>
      <w:r w:rsidR="00E043D6">
        <w:rPr>
          <w:rFonts w:ascii="Tahoma" w:hAnsi="Tahoma" w:cs="Tahoma"/>
          <w:b/>
          <w:sz w:val="19"/>
          <w:szCs w:val="19"/>
          <w:lang w:val="en-MY"/>
        </w:rPr>
        <w:t>.</w:t>
      </w:r>
    </w:p>
    <w:p w14:paraId="2E42EB0B" w14:textId="12D3B527" w:rsidR="00585110" w:rsidRPr="004302BF" w:rsidRDefault="00AF15A0" w:rsidP="00E043D6">
      <w:pPr>
        <w:pStyle w:val="ListParagraph"/>
        <w:numPr>
          <w:ilvl w:val="0"/>
          <w:numId w:val="1"/>
        </w:numPr>
        <w:ind w:left="3261" w:right="545" w:hanging="2552"/>
        <w:jc w:val="both"/>
        <w:rPr>
          <w:rFonts w:ascii="Tahoma" w:hAnsi="Tahoma" w:cs="Tahoma"/>
          <w:b/>
          <w:sz w:val="19"/>
          <w:szCs w:val="19"/>
          <w:lang w:val="en-MY"/>
        </w:rPr>
      </w:pPr>
      <w:r w:rsidRPr="00AF15A0">
        <w:rPr>
          <w:rFonts w:ascii="Tahoma" w:hAnsi="Tahoma" w:cs="Tahoma"/>
          <w:b/>
          <w:sz w:val="19"/>
          <w:szCs w:val="19"/>
          <w:lang w:val="en-MY"/>
        </w:rPr>
        <w:t xml:space="preserve">Re-iterate our </w:t>
      </w:r>
      <w:r w:rsidR="00A20042">
        <w:rPr>
          <w:rFonts w:ascii="Tahoma" w:hAnsi="Tahoma" w:cs="Tahoma"/>
          <w:b/>
          <w:sz w:val="19"/>
          <w:szCs w:val="19"/>
          <w:lang w:val="en-MY"/>
        </w:rPr>
        <w:t>SELL</w:t>
      </w:r>
      <w:r w:rsidRPr="00AF15A0">
        <w:rPr>
          <w:rFonts w:ascii="Tahoma" w:hAnsi="Tahoma" w:cs="Tahoma"/>
          <w:b/>
          <w:sz w:val="19"/>
          <w:szCs w:val="19"/>
          <w:lang w:val="en-MY"/>
        </w:rPr>
        <w:t xml:space="preserve"> recommendation on HARTA with a higher target price of RM2.09</w:t>
      </w:r>
      <w:r w:rsidRPr="00AF15A0">
        <w:t xml:space="preserve"> </w:t>
      </w:r>
      <w:r w:rsidRPr="00AF15A0">
        <w:rPr>
          <w:rFonts w:ascii="Tahoma" w:hAnsi="Tahoma" w:cs="Tahoma"/>
          <w:b/>
          <w:sz w:val="19"/>
          <w:szCs w:val="19"/>
          <w:lang w:val="en-MY"/>
        </w:rPr>
        <w:t xml:space="preserve">based on 1.5x </w:t>
      </w:r>
      <w:r>
        <w:rPr>
          <w:rFonts w:ascii="Tahoma" w:hAnsi="Tahoma" w:cs="Tahoma"/>
          <w:b/>
          <w:sz w:val="19"/>
          <w:szCs w:val="19"/>
          <w:lang w:val="en-MY"/>
        </w:rPr>
        <w:t>to FY25F</w:t>
      </w:r>
      <w:r w:rsidRPr="00AF15A0">
        <w:rPr>
          <w:rFonts w:ascii="Tahoma" w:hAnsi="Tahoma" w:cs="Tahoma"/>
          <w:b/>
          <w:sz w:val="19"/>
          <w:szCs w:val="19"/>
          <w:lang w:val="en-MY"/>
        </w:rPr>
        <w:t xml:space="preserve"> BV</w:t>
      </w:r>
      <w:r w:rsidR="00585110" w:rsidRPr="004302BF">
        <w:rPr>
          <w:rFonts w:ascii="Tahoma" w:hAnsi="Tahoma" w:cs="Tahoma"/>
          <w:b/>
          <w:sz w:val="19"/>
          <w:szCs w:val="19"/>
          <w:lang w:val="en-MY"/>
        </w:rPr>
        <w:t>.</w:t>
      </w:r>
      <w:r>
        <w:rPr>
          <w:rFonts w:ascii="Tahoma" w:hAnsi="Tahoma" w:cs="Tahoma"/>
          <w:b/>
          <w:sz w:val="19"/>
          <w:szCs w:val="19"/>
          <w:lang w:val="en-MY"/>
        </w:rPr>
        <w:t xml:space="preserve"> </w:t>
      </w:r>
    </w:p>
    <w:p w14:paraId="583FDB8A" w14:textId="77777777" w:rsidR="00585110" w:rsidRPr="004302BF" w:rsidRDefault="00585110" w:rsidP="00A13240">
      <w:pPr>
        <w:pStyle w:val="NoSpacing"/>
        <w:ind w:left="3261" w:right="545" w:hanging="2552"/>
        <w:rPr>
          <w:rFonts w:ascii="Tahoma" w:hAnsi="Tahoma" w:cs="Tahoma"/>
          <w:b/>
          <w:bCs/>
          <w:sz w:val="24"/>
          <w:szCs w:val="24"/>
          <w:lang w:val="en-MY"/>
        </w:rPr>
      </w:pPr>
      <w:r w:rsidRPr="004302BF">
        <w:rPr>
          <w:rFonts w:ascii="Tahoma" w:hAnsi="Tahoma" w:cs="Tahoma"/>
          <w:b/>
          <w:bCs/>
          <w:sz w:val="24"/>
          <w:szCs w:val="24"/>
          <w:lang w:val="en-MY"/>
        </w:rPr>
        <w:t>Results Review</w:t>
      </w:r>
    </w:p>
    <w:p w14:paraId="24D60F1B" w14:textId="77777777" w:rsidR="00585110" w:rsidRPr="004302BF" w:rsidRDefault="00585110" w:rsidP="00A13240">
      <w:pPr>
        <w:pStyle w:val="NoSpacing"/>
        <w:ind w:left="3261" w:right="545" w:hanging="2552"/>
        <w:rPr>
          <w:rFonts w:ascii="Tahoma" w:hAnsi="Tahoma" w:cs="Tahoma"/>
          <w:sz w:val="12"/>
          <w:szCs w:val="12"/>
          <w:lang w:val="en-MY"/>
        </w:rPr>
      </w:pPr>
    </w:p>
    <w:p w14:paraId="430E4DB5" w14:textId="1586A0A2" w:rsidR="00585110" w:rsidRPr="004302BF" w:rsidRDefault="00585110" w:rsidP="00A13240">
      <w:pPr>
        <w:pStyle w:val="ListParagraph"/>
        <w:numPr>
          <w:ilvl w:val="0"/>
          <w:numId w:val="1"/>
        </w:numPr>
        <w:ind w:left="3261" w:right="545" w:hanging="2552"/>
        <w:jc w:val="both"/>
        <w:rPr>
          <w:rFonts w:ascii="Tahoma" w:hAnsi="Tahoma" w:cs="Tahoma"/>
          <w:bCs/>
          <w:sz w:val="19"/>
          <w:szCs w:val="19"/>
          <w:lang w:val="en-MY"/>
        </w:rPr>
      </w:pPr>
      <w:r w:rsidRPr="004302BF">
        <w:rPr>
          <w:rFonts w:ascii="Tahoma" w:hAnsi="Tahoma" w:cs="Tahoma"/>
          <w:b/>
          <w:bCs/>
          <w:sz w:val="19"/>
          <w:szCs w:val="19"/>
        </w:rPr>
        <w:t>Results review</w:t>
      </w:r>
      <w:r w:rsidRPr="004302BF">
        <w:rPr>
          <w:rFonts w:ascii="Tahoma" w:hAnsi="Tahoma" w:cs="Tahoma"/>
          <w:sz w:val="19"/>
          <w:szCs w:val="19"/>
        </w:rPr>
        <w:t xml:space="preserve">. </w:t>
      </w:r>
      <w:r w:rsidR="006C6C69">
        <w:rPr>
          <w:rFonts w:ascii="Tahoma" w:hAnsi="Tahoma" w:cs="Tahoma"/>
          <w:sz w:val="19"/>
          <w:szCs w:val="19"/>
        </w:rPr>
        <w:t>While 2</w:t>
      </w:r>
      <w:r w:rsidRPr="004302BF">
        <w:rPr>
          <w:rFonts w:ascii="Tahoma" w:hAnsi="Tahoma" w:cs="Tahoma"/>
          <w:sz w:val="19"/>
          <w:szCs w:val="19"/>
        </w:rPr>
        <w:t>QFY2</w:t>
      </w:r>
      <w:r w:rsidR="006C6C69">
        <w:rPr>
          <w:rFonts w:ascii="Tahoma" w:hAnsi="Tahoma" w:cs="Tahoma"/>
          <w:sz w:val="19"/>
          <w:szCs w:val="19"/>
        </w:rPr>
        <w:t>4</w:t>
      </w:r>
      <w:r w:rsidRPr="004302BF">
        <w:rPr>
          <w:rFonts w:ascii="Tahoma" w:hAnsi="Tahoma" w:cs="Tahoma"/>
          <w:sz w:val="19"/>
          <w:szCs w:val="19"/>
        </w:rPr>
        <w:t xml:space="preserve"> core net </w:t>
      </w:r>
      <w:r w:rsidR="006C6C69">
        <w:rPr>
          <w:rFonts w:ascii="Tahoma" w:hAnsi="Tahoma" w:cs="Tahoma"/>
          <w:sz w:val="19"/>
          <w:szCs w:val="19"/>
        </w:rPr>
        <w:t xml:space="preserve">profit fell 2.3% </w:t>
      </w:r>
      <w:proofErr w:type="spellStart"/>
      <w:r w:rsidR="006C6C69">
        <w:rPr>
          <w:rFonts w:ascii="Tahoma" w:hAnsi="Tahoma" w:cs="Tahoma"/>
          <w:sz w:val="19"/>
          <w:szCs w:val="19"/>
        </w:rPr>
        <w:t>yoy</w:t>
      </w:r>
      <w:proofErr w:type="spellEnd"/>
      <w:r w:rsidR="006C6C69">
        <w:rPr>
          <w:rFonts w:ascii="Tahoma" w:hAnsi="Tahoma" w:cs="Tahoma"/>
          <w:sz w:val="19"/>
          <w:szCs w:val="19"/>
        </w:rPr>
        <w:t xml:space="preserve"> to </w:t>
      </w:r>
      <w:r w:rsidRPr="004302BF">
        <w:rPr>
          <w:rFonts w:ascii="Tahoma" w:hAnsi="Tahoma" w:cs="Tahoma"/>
          <w:sz w:val="19"/>
          <w:szCs w:val="19"/>
        </w:rPr>
        <w:t>RM</w:t>
      </w:r>
      <w:r w:rsidR="006C6C69">
        <w:rPr>
          <w:rFonts w:ascii="Tahoma" w:hAnsi="Tahoma" w:cs="Tahoma"/>
          <w:sz w:val="19"/>
          <w:szCs w:val="19"/>
        </w:rPr>
        <w:t>27.7</w:t>
      </w:r>
      <w:r w:rsidRPr="004302BF">
        <w:rPr>
          <w:rFonts w:ascii="Tahoma" w:hAnsi="Tahoma" w:cs="Tahoma"/>
          <w:sz w:val="19"/>
          <w:szCs w:val="19"/>
        </w:rPr>
        <w:t>m</w:t>
      </w:r>
      <w:r w:rsidR="00845BE5">
        <w:rPr>
          <w:rFonts w:ascii="Tahoma" w:hAnsi="Tahoma" w:cs="Tahoma"/>
          <w:sz w:val="19"/>
          <w:szCs w:val="19"/>
        </w:rPr>
        <w:t>,</w:t>
      </w:r>
      <w:r w:rsidR="006C6C69">
        <w:rPr>
          <w:rFonts w:ascii="Tahoma" w:hAnsi="Tahoma" w:cs="Tahoma"/>
          <w:sz w:val="19"/>
          <w:szCs w:val="19"/>
        </w:rPr>
        <w:t xml:space="preserve"> HARTA has returned to the black for the first time in past three quarters, driven improved operational landscape, coupled with lower raw material prices</w:t>
      </w:r>
      <w:r w:rsidRPr="004302BF">
        <w:rPr>
          <w:rFonts w:ascii="Tahoma" w:hAnsi="Tahoma" w:cs="Tahoma"/>
          <w:sz w:val="19"/>
          <w:szCs w:val="19"/>
        </w:rPr>
        <w:t>. Revenue for the quarter</w:t>
      </w:r>
      <w:r w:rsidR="006C6C69">
        <w:rPr>
          <w:rFonts w:ascii="Tahoma" w:hAnsi="Tahoma" w:cs="Tahoma"/>
          <w:sz w:val="19"/>
          <w:szCs w:val="19"/>
        </w:rPr>
        <w:t>, however, declined 22.7</w:t>
      </w:r>
      <w:r w:rsidRPr="004302BF">
        <w:rPr>
          <w:rFonts w:ascii="Tahoma" w:hAnsi="Tahoma" w:cs="Tahoma"/>
          <w:sz w:val="19"/>
          <w:szCs w:val="19"/>
        </w:rPr>
        <w:t xml:space="preserve">% </w:t>
      </w:r>
      <w:proofErr w:type="spellStart"/>
      <w:r w:rsidR="00555C9E">
        <w:rPr>
          <w:rFonts w:ascii="Tahoma" w:hAnsi="Tahoma" w:cs="Tahoma"/>
          <w:sz w:val="19"/>
          <w:szCs w:val="19"/>
        </w:rPr>
        <w:t>y</w:t>
      </w:r>
      <w:r w:rsidRPr="004302BF">
        <w:rPr>
          <w:rFonts w:ascii="Tahoma" w:hAnsi="Tahoma" w:cs="Tahoma"/>
          <w:sz w:val="19"/>
          <w:szCs w:val="19"/>
        </w:rPr>
        <w:t>o</w:t>
      </w:r>
      <w:r w:rsidR="00555C9E">
        <w:rPr>
          <w:rFonts w:ascii="Tahoma" w:hAnsi="Tahoma" w:cs="Tahoma"/>
          <w:sz w:val="19"/>
          <w:szCs w:val="19"/>
        </w:rPr>
        <w:t>y</w:t>
      </w:r>
      <w:proofErr w:type="spellEnd"/>
      <w:r w:rsidRPr="004302BF">
        <w:rPr>
          <w:rFonts w:ascii="Tahoma" w:hAnsi="Tahoma" w:cs="Tahoma"/>
          <w:sz w:val="19"/>
          <w:szCs w:val="19"/>
        </w:rPr>
        <w:t xml:space="preserve"> to RM</w:t>
      </w:r>
      <w:r w:rsidR="00845BE5">
        <w:rPr>
          <w:rFonts w:ascii="Tahoma" w:hAnsi="Tahoma" w:cs="Tahoma"/>
          <w:sz w:val="19"/>
          <w:szCs w:val="19"/>
        </w:rPr>
        <w:t>4</w:t>
      </w:r>
      <w:r w:rsidR="006C6C69">
        <w:rPr>
          <w:rFonts w:ascii="Tahoma" w:hAnsi="Tahoma" w:cs="Tahoma"/>
          <w:sz w:val="19"/>
          <w:szCs w:val="19"/>
        </w:rPr>
        <w:t>52.1</w:t>
      </w:r>
      <w:r w:rsidRPr="004302BF">
        <w:rPr>
          <w:rFonts w:ascii="Tahoma" w:hAnsi="Tahoma" w:cs="Tahoma"/>
          <w:sz w:val="19"/>
          <w:szCs w:val="19"/>
        </w:rPr>
        <w:t>m</w:t>
      </w:r>
      <w:r w:rsidR="00555C9E">
        <w:rPr>
          <w:rFonts w:ascii="Tahoma" w:hAnsi="Tahoma" w:cs="Tahoma"/>
          <w:sz w:val="19"/>
          <w:szCs w:val="19"/>
        </w:rPr>
        <w:t xml:space="preserve"> on weaker ASP</w:t>
      </w:r>
      <w:r w:rsidRPr="004302BF">
        <w:rPr>
          <w:rFonts w:ascii="Tahoma" w:hAnsi="Tahoma" w:cs="Tahoma"/>
          <w:sz w:val="19"/>
          <w:szCs w:val="19"/>
        </w:rPr>
        <w:t>.</w:t>
      </w:r>
    </w:p>
    <w:p w14:paraId="16C7FCDC" w14:textId="77777777" w:rsidR="00585110" w:rsidRPr="004302BF" w:rsidRDefault="00585110" w:rsidP="00A13240">
      <w:pPr>
        <w:pStyle w:val="ListParagraph"/>
        <w:ind w:left="3261" w:right="545" w:hanging="2552"/>
        <w:jc w:val="both"/>
        <w:rPr>
          <w:rFonts w:ascii="Tahoma" w:hAnsi="Tahoma" w:cs="Tahoma"/>
          <w:bCs/>
          <w:sz w:val="19"/>
          <w:szCs w:val="19"/>
          <w:lang w:val="en-MY"/>
        </w:rPr>
      </w:pPr>
    </w:p>
    <w:p w14:paraId="113C512D" w14:textId="502EC709" w:rsidR="00585110" w:rsidRPr="004302BF" w:rsidRDefault="00845BE5" w:rsidP="00A13240">
      <w:pPr>
        <w:pStyle w:val="ListParagraph"/>
        <w:numPr>
          <w:ilvl w:val="0"/>
          <w:numId w:val="1"/>
        </w:numPr>
        <w:ind w:left="3261" w:right="545" w:hanging="2552"/>
        <w:jc w:val="both"/>
        <w:rPr>
          <w:rFonts w:ascii="Tahoma" w:hAnsi="Tahoma" w:cs="Tahoma"/>
          <w:bCs/>
          <w:sz w:val="19"/>
          <w:szCs w:val="19"/>
          <w:lang w:val="en-MY"/>
        </w:rPr>
      </w:pPr>
      <w:r>
        <w:rPr>
          <w:rFonts w:ascii="Tahoma" w:hAnsi="Tahoma" w:cs="Tahoma"/>
          <w:b/>
          <w:bCs/>
          <w:sz w:val="19"/>
          <w:szCs w:val="19"/>
        </w:rPr>
        <w:t xml:space="preserve">Results </w:t>
      </w:r>
      <w:r w:rsidR="00D82D9F">
        <w:rPr>
          <w:rFonts w:ascii="Tahoma" w:hAnsi="Tahoma" w:cs="Tahoma"/>
          <w:b/>
          <w:bCs/>
          <w:sz w:val="19"/>
          <w:szCs w:val="19"/>
        </w:rPr>
        <w:t>below expectations</w:t>
      </w:r>
      <w:r w:rsidR="00585110" w:rsidRPr="004302BF">
        <w:rPr>
          <w:rFonts w:ascii="Tahoma" w:hAnsi="Tahoma" w:cs="Tahoma"/>
          <w:sz w:val="19"/>
          <w:szCs w:val="19"/>
        </w:rPr>
        <w:t xml:space="preserve">. </w:t>
      </w:r>
      <w:r w:rsidR="00555C9E">
        <w:rPr>
          <w:rFonts w:ascii="Tahoma" w:hAnsi="Tahoma" w:cs="Tahoma"/>
          <w:sz w:val="19"/>
          <w:szCs w:val="19"/>
        </w:rPr>
        <w:t>6MFY24</w:t>
      </w:r>
      <w:r>
        <w:rPr>
          <w:rFonts w:ascii="Tahoma" w:hAnsi="Tahoma" w:cs="Tahoma"/>
          <w:sz w:val="19"/>
          <w:szCs w:val="19"/>
        </w:rPr>
        <w:t xml:space="preserve"> </w:t>
      </w:r>
      <w:r w:rsidR="00555C9E">
        <w:rPr>
          <w:rFonts w:ascii="Tahoma" w:hAnsi="Tahoma" w:cs="Tahoma"/>
          <w:sz w:val="19"/>
          <w:szCs w:val="19"/>
        </w:rPr>
        <w:t xml:space="preserve">core </w:t>
      </w:r>
      <w:r>
        <w:rPr>
          <w:rFonts w:ascii="Tahoma" w:hAnsi="Tahoma" w:cs="Tahoma"/>
          <w:sz w:val="19"/>
          <w:szCs w:val="19"/>
        </w:rPr>
        <w:t xml:space="preserve">net </w:t>
      </w:r>
      <w:r w:rsidR="00555C9E">
        <w:rPr>
          <w:rFonts w:ascii="Tahoma" w:hAnsi="Tahoma" w:cs="Tahoma"/>
          <w:sz w:val="19"/>
          <w:szCs w:val="19"/>
        </w:rPr>
        <w:t xml:space="preserve">loss </w:t>
      </w:r>
      <w:r>
        <w:rPr>
          <w:rFonts w:ascii="Tahoma" w:hAnsi="Tahoma" w:cs="Tahoma"/>
          <w:sz w:val="19"/>
          <w:szCs w:val="19"/>
        </w:rPr>
        <w:t>at -RM</w:t>
      </w:r>
      <w:r w:rsidR="00555C9E">
        <w:rPr>
          <w:rFonts w:ascii="Tahoma" w:hAnsi="Tahoma" w:cs="Tahoma"/>
          <w:sz w:val="19"/>
          <w:szCs w:val="19"/>
        </w:rPr>
        <w:t>24.8</w:t>
      </w:r>
      <w:r>
        <w:rPr>
          <w:rFonts w:ascii="Tahoma" w:hAnsi="Tahoma" w:cs="Tahoma"/>
          <w:sz w:val="19"/>
          <w:szCs w:val="19"/>
        </w:rPr>
        <w:t xml:space="preserve">m </w:t>
      </w:r>
      <w:r w:rsidR="00555C9E">
        <w:rPr>
          <w:rFonts w:ascii="Tahoma" w:hAnsi="Tahoma" w:cs="Tahoma"/>
          <w:sz w:val="19"/>
          <w:szCs w:val="19"/>
        </w:rPr>
        <w:t xml:space="preserve">remains a distance against our expectations </w:t>
      </w:r>
      <w:r>
        <w:rPr>
          <w:rFonts w:ascii="Tahoma" w:hAnsi="Tahoma" w:cs="Tahoma"/>
          <w:sz w:val="19"/>
          <w:szCs w:val="19"/>
        </w:rPr>
        <w:t xml:space="preserve">of </w:t>
      </w:r>
      <w:r w:rsidR="00555C9E">
        <w:rPr>
          <w:rFonts w:ascii="Tahoma" w:hAnsi="Tahoma" w:cs="Tahoma"/>
          <w:sz w:val="19"/>
          <w:szCs w:val="19"/>
        </w:rPr>
        <w:t xml:space="preserve">core </w:t>
      </w:r>
      <w:r>
        <w:rPr>
          <w:rFonts w:ascii="Tahoma" w:hAnsi="Tahoma" w:cs="Tahoma"/>
          <w:sz w:val="19"/>
          <w:szCs w:val="19"/>
        </w:rPr>
        <w:t xml:space="preserve">net </w:t>
      </w:r>
      <w:r w:rsidR="00555C9E">
        <w:rPr>
          <w:rFonts w:ascii="Tahoma" w:hAnsi="Tahoma" w:cs="Tahoma"/>
          <w:sz w:val="19"/>
          <w:szCs w:val="19"/>
        </w:rPr>
        <w:t>profit</w:t>
      </w:r>
      <w:r>
        <w:rPr>
          <w:rFonts w:ascii="Tahoma" w:hAnsi="Tahoma" w:cs="Tahoma"/>
          <w:sz w:val="19"/>
          <w:szCs w:val="19"/>
        </w:rPr>
        <w:t xml:space="preserve"> at </w:t>
      </w:r>
      <w:r w:rsidR="00555C9E">
        <w:rPr>
          <w:rFonts w:ascii="Tahoma" w:hAnsi="Tahoma" w:cs="Tahoma"/>
          <w:sz w:val="19"/>
          <w:szCs w:val="19"/>
        </w:rPr>
        <w:t>RM70.1</w:t>
      </w:r>
      <w:r>
        <w:rPr>
          <w:rFonts w:ascii="Tahoma" w:hAnsi="Tahoma" w:cs="Tahoma"/>
          <w:sz w:val="19"/>
          <w:szCs w:val="19"/>
        </w:rPr>
        <w:t xml:space="preserve">m as well as </w:t>
      </w:r>
      <w:r w:rsidR="00585110" w:rsidRPr="004302BF">
        <w:rPr>
          <w:rFonts w:ascii="Tahoma" w:hAnsi="Tahoma" w:cs="Tahoma"/>
          <w:sz w:val="19"/>
          <w:szCs w:val="19"/>
        </w:rPr>
        <w:t xml:space="preserve">consensus forecasted net </w:t>
      </w:r>
      <w:r w:rsidR="00555C9E">
        <w:rPr>
          <w:rFonts w:ascii="Tahoma" w:hAnsi="Tahoma" w:cs="Tahoma"/>
          <w:sz w:val="19"/>
          <w:szCs w:val="19"/>
        </w:rPr>
        <w:t xml:space="preserve">profit </w:t>
      </w:r>
      <w:r w:rsidR="00585110" w:rsidRPr="004302BF">
        <w:rPr>
          <w:rFonts w:ascii="Tahoma" w:hAnsi="Tahoma" w:cs="Tahoma"/>
          <w:sz w:val="19"/>
          <w:szCs w:val="19"/>
        </w:rPr>
        <w:t xml:space="preserve">of </w:t>
      </w:r>
      <w:r>
        <w:rPr>
          <w:rFonts w:ascii="Tahoma" w:hAnsi="Tahoma" w:cs="Tahoma"/>
          <w:sz w:val="19"/>
          <w:szCs w:val="19"/>
        </w:rPr>
        <w:t>RM</w:t>
      </w:r>
      <w:r w:rsidR="00555C9E">
        <w:rPr>
          <w:rFonts w:ascii="Tahoma" w:hAnsi="Tahoma" w:cs="Tahoma"/>
          <w:sz w:val="19"/>
          <w:szCs w:val="19"/>
        </w:rPr>
        <w:t>33.9</w:t>
      </w:r>
      <w:r w:rsidR="00585110" w:rsidRPr="004302BF">
        <w:rPr>
          <w:rFonts w:ascii="Tahoma" w:hAnsi="Tahoma" w:cs="Tahoma"/>
          <w:sz w:val="19"/>
          <w:szCs w:val="19"/>
        </w:rPr>
        <w:t>m.</w:t>
      </w:r>
      <w:r w:rsidR="0018145A">
        <w:rPr>
          <w:rFonts w:ascii="Tahoma" w:hAnsi="Tahoma" w:cs="Tahoma"/>
          <w:sz w:val="19"/>
          <w:szCs w:val="19"/>
        </w:rPr>
        <w:t xml:space="preserve"> The variance was due to higher effective tax rate.</w:t>
      </w:r>
      <w:r w:rsidR="00585110" w:rsidRPr="004302BF">
        <w:rPr>
          <w:rFonts w:ascii="Tahoma" w:hAnsi="Tahoma" w:cs="Tahoma"/>
          <w:sz w:val="19"/>
          <w:szCs w:val="19"/>
        </w:rPr>
        <w:t xml:space="preserve"> </w:t>
      </w:r>
      <w:r>
        <w:rPr>
          <w:rFonts w:ascii="Tahoma" w:hAnsi="Tahoma" w:cs="Tahoma"/>
          <w:sz w:val="19"/>
          <w:szCs w:val="19"/>
        </w:rPr>
        <w:t>Looking ahead, we expect sequential and gradual recovery</w:t>
      </w:r>
      <w:r w:rsidR="004E0047">
        <w:rPr>
          <w:rFonts w:ascii="Tahoma" w:hAnsi="Tahoma" w:cs="Tahoma"/>
          <w:sz w:val="19"/>
          <w:szCs w:val="19"/>
        </w:rPr>
        <w:t xml:space="preserve"> on the back of cost </w:t>
      </w:r>
      <w:proofErr w:type="spellStart"/>
      <w:r w:rsidR="004E0047">
        <w:rPr>
          <w:rFonts w:ascii="Tahoma" w:hAnsi="Tahoma" w:cs="Tahoma"/>
          <w:sz w:val="19"/>
          <w:szCs w:val="19"/>
        </w:rPr>
        <w:t>rationalisation</w:t>
      </w:r>
      <w:proofErr w:type="spellEnd"/>
      <w:r w:rsidR="004E0047">
        <w:rPr>
          <w:rFonts w:ascii="Tahoma" w:hAnsi="Tahoma" w:cs="Tahoma"/>
          <w:sz w:val="19"/>
          <w:szCs w:val="19"/>
        </w:rPr>
        <w:t xml:space="preserve"> initiatives and</w:t>
      </w:r>
      <w:r w:rsidR="002B7B2B">
        <w:rPr>
          <w:rFonts w:ascii="Tahoma" w:hAnsi="Tahoma" w:cs="Tahoma"/>
          <w:sz w:val="19"/>
          <w:szCs w:val="19"/>
        </w:rPr>
        <w:t xml:space="preserve"> lower raw material prices</w:t>
      </w:r>
      <w:r w:rsidR="00585110" w:rsidRPr="004302BF">
        <w:rPr>
          <w:rFonts w:ascii="Tahoma" w:hAnsi="Tahoma" w:cs="Tahoma"/>
          <w:sz w:val="19"/>
          <w:szCs w:val="19"/>
        </w:rPr>
        <w:t>.</w:t>
      </w:r>
    </w:p>
    <w:p w14:paraId="5202E93D" w14:textId="77777777" w:rsidR="00585110" w:rsidRPr="004302BF" w:rsidRDefault="00585110" w:rsidP="00A13240">
      <w:pPr>
        <w:pStyle w:val="ListParagraph"/>
        <w:ind w:left="3261" w:right="545" w:hanging="2552"/>
        <w:jc w:val="both"/>
        <w:rPr>
          <w:rFonts w:ascii="Tahoma" w:hAnsi="Tahoma" w:cs="Tahoma"/>
          <w:bCs/>
          <w:sz w:val="19"/>
          <w:szCs w:val="19"/>
          <w:lang w:val="en-MY"/>
        </w:rPr>
      </w:pPr>
    </w:p>
    <w:p w14:paraId="54BAA459" w14:textId="02DAD0B9" w:rsidR="00585110" w:rsidRPr="004302BF" w:rsidRDefault="00585110" w:rsidP="00A13240">
      <w:pPr>
        <w:pStyle w:val="ListParagraph"/>
        <w:numPr>
          <w:ilvl w:val="0"/>
          <w:numId w:val="1"/>
        </w:numPr>
        <w:ind w:left="3261" w:right="545" w:hanging="2552"/>
        <w:jc w:val="both"/>
        <w:rPr>
          <w:rFonts w:ascii="Tahoma" w:hAnsi="Tahoma" w:cs="Tahoma"/>
          <w:bCs/>
          <w:sz w:val="19"/>
          <w:szCs w:val="19"/>
          <w:lang w:val="en-MY"/>
        </w:rPr>
      </w:pPr>
      <w:r w:rsidRPr="004302BF">
        <w:rPr>
          <w:rFonts w:ascii="Tahoma" w:hAnsi="Tahoma" w:cs="Tahoma"/>
          <w:b/>
          <w:bCs/>
          <w:sz w:val="19"/>
          <w:szCs w:val="19"/>
        </w:rPr>
        <w:t>Operations Highlights</w:t>
      </w:r>
      <w:r w:rsidRPr="004302BF">
        <w:rPr>
          <w:rFonts w:ascii="Tahoma" w:hAnsi="Tahoma" w:cs="Tahoma"/>
          <w:sz w:val="19"/>
          <w:szCs w:val="19"/>
        </w:rPr>
        <w:t xml:space="preserve">. </w:t>
      </w:r>
      <w:r w:rsidR="002B7B2B">
        <w:rPr>
          <w:rFonts w:ascii="Tahoma" w:hAnsi="Tahoma" w:cs="Tahoma"/>
          <w:sz w:val="19"/>
          <w:szCs w:val="19"/>
        </w:rPr>
        <w:t xml:space="preserve">During 2QFY24, HARTA recorded slight uptick in </w:t>
      </w:r>
      <w:proofErr w:type="spellStart"/>
      <w:r w:rsidR="002B7B2B">
        <w:rPr>
          <w:rFonts w:ascii="Tahoma" w:hAnsi="Tahoma" w:cs="Tahoma"/>
          <w:sz w:val="19"/>
          <w:szCs w:val="19"/>
        </w:rPr>
        <w:t>utilisation</w:t>
      </w:r>
      <w:proofErr w:type="spellEnd"/>
      <w:r w:rsidR="002B7B2B">
        <w:rPr>
          <w:rFonts w:ascii="Tahoma" w:hAnsi="Tahoma" w:cs="Tahoma"/>
          <w:sz w:val="19"/>
          <w:szCs w:val="19"/>
        </w:rPr>
        <w:t xml:space="preserve"> rate at 43.9% against 40.6% in the preceding quarter, </w:t>
      </w:r>
      <w:r w:rsidR="00024A85">
        <w:rPr>
          <w:rFonts w:ascii="Tahoma" w:hAnsi="Tahoma" w:cs="Tahoma"/>
          <w:sz w:val="19"/>
          <w:szCs w:val="19"/>
        </w:rPr>
        <w:t xml:space="preserve">on </w:t>
      </w:r>
      <w:r w:rsidR="002B7B2B">
        <w:rPr>
          <w:rFonts w:ascii="Tahoma" w:hAnsi="Tahoma" w:cs="Tahoma"/>
          <w:sz w:val="19"/>
          <w:szCs w:val="19"/>
        </w:rPr>
        <w:t xml:space="preserve">improved demand from North America, Asia and Oceania region. </w:t>
      </w:r>
      <w:r w:rsidR="00024A85">
        <w:rPr>
          <w:rFonts w:ascii="Tahoma" w:hAnsi="Tahoma" w:cs="Tahoma"/>
          <w:sz w:val="19"/>
          <w:szCs w:val="19"/>
        </w:rPr>
        <w:t>R</w:t>
      </w:r>
      <w:r w:rsidR="002B7B2B">
        <w:rPr>
          <w:rFonts w:ascii="Tahoma" w:hAnsi="Tahoma" w:cs="Tahoma"/>
          <w:sz w:val="19"/>
          <w:szCs w:val="19"/>
        </w:rPr>
        <w:t xml:space="preserve">aw material cost has also </w:t>
      </w:r>
      <w:proofErr w:type="gramStart"/>
      <w:r w:rsidR="002B7B2B">
        <w:rPr>
          <w:rFonts w:ascii="Tahoma" w:hAnsi="Tahoma" w:cs="Tahoma"/>
          <w:sz w:val="19"/>
          <w:szCs w:val="19"/>
        </w:rPr>
        <w:t>soften</w:t>
      </w:r>
      <w:proofErr w:type="gramEnd"/>
      <w:r w:rsidR="002B7B2B">
        <w:rPr>
          <w:rFonts w:ascii="Tahoma" w:hAnsi="Tahoma" w:cs="Tahoma"/>
          <w:sz w:val="19"/>
          <w:szCs w:val="19"/>
        </w:rPr>
        <w:t xml:space="preserve">, allowing the group to return to the black. </w:t>
      </w:r>
      <w:r w:rsidR="00024A85">
        <w:rPr>
          <w:rFonts w:ascii="Tahoma" w:hAnsi="Tahoma" w:cs="Tahoma"/>
          <w:sz w:val="19"/>
          <w:szCs w:val="19"/>
        </w:rPr>
        <w:t>Looking ahead, w</w:t>
      </w:r>
      <w:r w:rsidR="002B7B2B">
        <w:rPr>
          <w:rFonts w:ascii="Tahoma" w:hAnsi="Tahoma" w:cs="Tahoma"/>
          <w:sz w:val="19"/>
          <w:szCs w:val="19"/>
        </w:rPr>
        <w:t>e reckon that HARTA</w:t>
      </w:r>
      <w:r w:rsidR="00D21C95">
        <w:rPr>
          <w:rFonts w:ascii="Tahoma" w:hAnsi="Tahoma" w:cs="Tahoma"/>
          <w:sz w:val="19"/>
          <w:szCs w:val="19"/>
        </w:rPr>
        <w:t xml:space="preserve">’s </w:t>
      </w:r>
      <w:proofErr w:type="spellStart"/>
      <w:r w:rsidR="00D21C95">
        <w:rPr>
          <w:rFonts w:ascii="Tahoma" w:hAnsi="Tahoma" w:cs="Tahoma"/>
          <w:sz w:val="19"/>
          <w:szCs w:val="19"/>
        </w:rPr>
        <w:t>utilisation</w:t>
      </w:r>
      <w:proofErr w:type="spellEnd"/>
      <w:r w:rsidR="00D21C95">
        <w:rPr>
          <w:rFonts w:ascii="Tahoma" w:hAnsi="Tahoma" w:cs="Tahoma"/>
          <w:sz w:val="19"/>
          <w:szCs w:val="19"/>
        </w:rPr>
        <w:t xml:space="preserve"> rate</w:t>
      </w:r>
      <w:r w:rsidR="002B7B2B">
        <w:rPr>
          <w:rFonts w:ascii="Tahoma" w:hAnsi="Tahoma" w:cs="Tahoma"/>
          <w:sz w:val="19"/>
          <w:szCs w:val="19"/>
        </w:rPr>
        <w:t xml:space="preserve"> may </w:t>
      </w:r>
      <w:r w:rsidR="00024A85">
        <w:rPr>
          <w:rFonts w:ascii="Tahoma" w:hAnsi="Tahoma" w:cs="Tahoma"/>
          <w:sz w:val="19"/>
          <w:szCs w:val="19"/>
        </w:rPr>
        <w:t xml:space="preserve">bump towards </w:t>
      </w:r>
      <w:r w:rsidR="002B7B2B">
        <w:rPr>
          <w:rFonts w:ascii="Tahoma" w:hAnsi="Tahoma" w:cs="Tahoma"/>
          <w:sz w:val="19"/>
          <w:szCs w:val="19"/>
        </w:rPr>
        <w:t>50.0% by end-FY24.</w:t>
      </w:r>
    </w:p>
    <w:p w14:paraId="173FC659" w14:textId="77777777" w:rsidR="00585110" w:rsidRPr="004302BF" w:rsidRDefault="00585110" w:rsidP="00A13240">
      <w:pPr>
        <w:pStyle w:val="ListParagraph"/>
        <w:ind w:left="3261" w:right="545" w:hanging="2552"/>
        <w:rPr>
          <w:rFonts w:ascii="Tahoma" w:hAnsi="Tahoma" w:cs="Tahoma"/>
          <w:b/>
          <w:bCs/>
          <w:sz w:val="19"/>
          <w:szCs w:val="19"/>
        </w:rPr>
      </w:pPr>
    </w:p>
    <w:p w14:paraId="345EB43F" w14:textId="75D9E054" w:rsidR="002B7B2B" w:rsidRPr="004302BF" w:rsidRDefault="00585110" w:rsidP="002B7B2B">
      <w:pPr>
        <w:pStyle w:val="ListParagraph"/>
        <w:numPr>
          <w:ilvl w:val="0"/>
          <w:numId w:val="1"/>
        </w:numPr>
        <w:ind w:left="3261" w:right="545" w:hanging="2552"/>
        <w:jc w:val="both"/>
        <w:rPr>
          <w:rFonts w:ascii="Tahoma" w:hAnsi="Tahoma" w:cs="Tahoma"/>
          <w:bCs/>
          <w:sz w:val="19"/>
          <w:szCs w:val="19"/>
          <w:lang w:val="en-MY"/>
        </w:rPr>
      </w:pPr>
      <w:r w:rsidRPr="004302BF">
        <w:rPr>
          <w:rFonts w:ascii="Tahoma" w:hAnsi="Tahoma" w:cs="Tahoma"/>
          <w:b/>
          <w:bCs/>
          <w:sz w:val="19"/>
          <w:szCs w:val="19"/>
        </w:rPr>
        <w:t>Industry Highlights</w:t>
      </w:r>
      <w:r w:rsidRPr="004302BF">
        <w:rPr>
          <w:rFonts w:ascii="Tahoma" w:hAnsi="Tahoma" w:cs="Tahoma"/>
          <w:sz w:val="19"/>
          <w:szCs w:val="19"/>
        </w:rPr>
        <w:t xml:space="preserve">. </w:t>
      </w:r>
      <w:r w:rsidR="002B7B2B">
        <w:rPr>
          <w:rFonts w:ascii="Tahoma" w:hAnsi="Tahoma" w:cs="Tahoma"/>
          <w:sz w:val="19"/>
          <w:szCs w:val="19"/>
        </w:rPr>
        <w:t xml:space="preserve">We expect raw material prices </w:t>
      </w:r>
      <w:r w:rsidR="003C6603">
        <w:rPr>
          <w:rFonts w:ascii="Tahoma" w:hAnsi="Tahoma" w:cs="Tahoma"/>
          <w:sz w:val="19"/>
          <w:szCs w:val="19"/>
        </w:rPr>
        <w:t>to be turn slightly higher</w:t>
      </w:r>
      <w:r w:rsidR="002B7B2B">
        <w:rPr>
          <w:rFonts w:ascii="Tahoma" w:hAnsi="Tahoma" w:cs="Tahoma"/>
          <w:sz w:val="19"/>
          <w:szCs w:val="19"/>
        </w:rPr>
        <w:t>, due to signs of increase in feedstock price</w:t>
      </w:r>
      <w:r w:rsidR="002B7B2B" w:rsidRPr="004302BF">
        <w:rPr>
          <w:rFonts w:ascii="Tahoma" w:hAnsi="Tahoma" w:cs="Tahoma"/>
          <w:sz w:val="19"/>
          <w:szCs w:val="19"/>
        </w:rPr>
        <w:t>.</w:t>
      </w:r>
      <w:r w:rsidR="002B7B2B">
        <w:rPr>
          <w:rFonts w:ascii="Tahoma" w:hAnsi="Tahoma" w:cs="Tahoma"/>
          <w:sz w:val="19"/>
          <w:szCs w:val="19"/>
        </w:rPr>
        <w:t xml:space="preserve"> Meanwhile, natural gas prices may continue to taper from the peak in October 2022</w:t>
      </w:r>
      <w:r w:rsidR="00CE6EA8">
        <w:rPr>
          <w:rFonts w:ascii="Tahoma" w:hAnsi="Tahoma" w:cs="Tahoma"/>
          <w:sz w:val="19"/>
          <w:szCs w:val="19"/>
        </w:rPr>
        <w:t>.</w:t>
      </w:r>
      <w:r w:rsidR="000560C4">
        <w:rPr>
          <w:rFonts w:ascii="Tahoma" w:hAnsi="Tahoma" w:cs="Tahoma"/>
          <w:sz w:val="19"/>
          <w:szCs w:val="19"/>
        </w:rPr>
        <w:t xml:space="preserve"> The overall gloves market remain</w:t>
      </w:r>
      <w:r w:rsidR="00024A85">
        <w:rPr>
          <w:rFonts w:ascii="Tahoma" w:hAnsi="Tahoma" w:cs="Tahoma"/>
          <w:sz w:val="19"/>
          <w:szCs w:val="19"/>
        </w:rPr>
        <w:t>s</w:t>
      </w:r>
      <w:r w:rsidR="000560C4">
        <w:rPr>
          <w:rFonts w:ascii="Tahoma" w:hAnsi="Tahoma" w:cs="Tahoma"/>
          <w:sz w:val="19"/>
          <w:szCs w:val="19"/>
        </w:rPr>
        <w:t xml:space="preserve"> challenging </w:t>
      </w:r>
      <w:r w:rsidR="00024A85">
        <w:rPr>
          <w:rFonts w:ascii="Tahoma" w:hAnsi="Tahoma" w:cs="Tahoma"/>
          <w:sz w:val="19"/>
          <w:szCs w:val="19"/>
        </w:rPr>
        <w:t xml:space="preserve">and </w:t>
      </w:r>
      <w:r w:rsidR="000560C4">
        <w:rPr>
          <w:rFonts w:ascii="Tahoma" w:hAnsi="Tahoma" w:cs="Tahoma"/>
          <w:sz w:val="19"/>
          <w:szCs w:val="19"/>
        </w:rPr>
        <w:t xml:space="preserve">may </w:t>
      </w:r>
      <w:r w:rsidR="00024A85">
        <w:rPr>
          <w:rFonts w:ascii="Tahoma" w:hAnsi="Tahoma" w:cs="Tahoma"/>
          <w:sz w:val="19"/>
          <w:szCs w:val="19"/>
        </w:rPr>
        <w:t xml:space="preserve">only </w:t>
      </w:r>
      <w:r w:rsidR="000560C4">
        <w:rPr>
          <w:rFonts w:ascii="Tahoma" w:hAnsi="Tahoma" w:cs="Tahoma"/>
          <w:sz w:val="19"/>
          <w:szCs w:val="19"/>
        </w:rPr>
        <w:t xml:space="preserve">see </w:t>
      </w:r>
      <w:r w:rsidR="00024A85">
        <w:rPr>
          <w:rFonts w:ascii="Tahoma" w:hAnsi="Tahoma" w:cs="Tahoma"/>
          <w:sz w:val="19"/>
          <w:szCs w:val="19"/>
        </w:rPr>
        <w:t xml:space="preserve">demand-supply equilibrium </w:t>
      </w:r>
      <w:r w:rsidR="000560C4">
        <w:rPr>
          <w:rFonts w:ascii="Tahoma" w:hAnsi="Tahoma" w:cs="Tahoma"/>
          <w:sz w:val="19"/>
          <w:szCs w:val="19"/>
        </w:rPr>
        <w:t xml:space="preserve">to take place in 2H24, at </w:t>
      </w:r>
      <w:r w:rsidR="00024A85">
        <w:rPr>
          <w:rFonts w:ascii="Tahoma" w:hAnsi="Tahoma" w:cs="Tahoma"/>
          <w:sz w:val="19"/>
          <w:szCs w:val="19"/>
        </w:rPr>
        <w:t>soonest</w:t>
      </w:r>
      <w:r w:rsidR="000560C4">
        <w:rPr>
          <w:rFonts w:ascii="Tahoma" w:hAnsi="Tahoma" w:cs="Tahoma"/>
          <w:sz w:val="19"/>
          <w:szCs w:val="19"/>
        </w:rPr>
        <w:t>.</w:t>
      </w:r>
    </w:p>
    <w:p w14:paraId="61880E40" w14:textId="77777777" w:rsidR="00585110" w:rsidRPr="004302BF" w:rsidRDefault="00585110" w:rsidP="00A13240">
      <w:pPr>
        <w:pStyle w:val="ListParagraph"/>
        <w:ind w:left="3261" w:right="545" w:hanging="2552"/>
        <w:jc w:val="both"/>
        <w:rPr>
          <w:rFonts w:ascii="Tahoma" w:hAnsi="Tahoma" w:cs="Tahoma"/>
          <w:bCs/>
          <w:sz w:val="19"/>
          <w:szCs w:val="19"/>
          <w:lang w:val="en-MY"/>
        </w:rPr>
      </w:pPr>
    </w:p>
    <w:p w14:paraId="3B978657" w14:textId="521C4678" w:rsidR="00585110" w:rsidRPr="004302BF" w:rsidRDefault="00585110" w:rsidP="00A13240">
      <w:pPr>
        <w:pStyle w:val="ListParagraph"/>
        <w:numPr>
          <w:ilvl w:val="0"/>
          <w:numId w:val="1"/>
        </w:numPr>
        <w:ind w:left="3261" w:right="545" w:hanging="2552"/>
        <w:jc w:val="both"/>
        <w:rPr>
          <w:rFonts w:ascii="Tahoma" w:hAnsi="Tahoma" w:cs="Tahoma"/>
          <w:bCs/>
          <w:sz w:val="19"/>
          <w:szCs w:val="19"/>
          <w:lang w:val="en-MY"/>
        </w:rPr>
      </w:pPr>
      <w:r w:rsidRPr="004302BF">
        <w:rPr>
          <w:rFonts w:ascii="Tahoma" w:hAnsi="Tahoma" w:cs="Tahoma"/>
          <w:b/>
          <w:bCs/>
          <w:sz w:val="19"/>
          <w:szCs w:val="19"/>
        </w:rPr>
        <w:t>Outlook</w:t>
      </w:r>
      <w:r w:rsidRPr="004302BF">
        <w:rPr>
          <w:rFonts w:ascii="Tahoma" w:hAnsi="Tahoma" w:cs="Tahoma"/>
          <w:sz w:val="19"/>
          <w:szCs w:val="19"/>
        </w:rPr>
        <w:t xml:space="preserve">. </w:t>
      </w:r>
      <w:r w:rsidR="006C345F">
        <w:rPr>
          <w:rFonts w:ascii="Tahoma" w:hAnsi="Tahoma" w:cs="Tahoma"/>
          <w:sz w:val="19"/>
          <w:szCs w:val="19"/>
        </w:rPr>
        <w:t>W</w:t>
      </w:r>
      <w:r w:rsidR="002B7B2B">
        <w:rPr>
          <w:rFonts w:ascii="Tahoma" w:hAnsi="Tahoma" w:cs="Tahoma"/>
          <w:sz w:val="19"/>
          <w:szCs w:val="19"/>
        </w:rPr>
        <w:t>e expect sequential and gradual recovery to stay pat in subsequent quarters ahead</w:t>
      </w:r>
      <w:r w:rsidR="00B4411D">
        <w:rPr>
          <w:rFonts w:ascii="Tahoma" w:hAnsi="Tahoma" w:cs="Tahoma"/>
          <w:sz w:val="19"/>
          <w:szCs w:val="19"/>
        </w:rPr>
        <w:t>,</w:t>
      </w:r>
      <w:r w:rsidR="002B7B2B">
        <w:rPr>
          <w:rFonts w:ascii="Tahoma" w:hAnsi="Tahoma" w:cs="Tahoma"/>
          <w:sz w:val="19"/>
          <w:szCs w:val="19"/>
        </w:rPr>
        <w:t xml:space="preserve"> as quantum of ASP </w:t>
      </w:r>
      <w:proofErr w:type="spellStart"/>
      <w:r w:rsidR="002B7B2B">
        <w:rPr>
          <w:rFonts w:ascii="Tahoma" w:hAnsi="Tahoma" w:cs="Tahoma"/>
          <w:sz w:val="19"/>
          <w:szCs w:val="19"/>
        </w:rPr>
        <w:t>normalisation</w:t>
      </w:r>
      <w:proofErr w:type="spellEnd"/>
      <w:r w:rsidR="002B7B2B">
        <w:rPr>
          <w:rFonts w:ascii="Tahoma" w:hAnsi="Tahoma" w:cs="Tahoma"/>
          <w:sz w:val="19"/>
          <w:szCs w:val="19"/>
        </w:rPr>
        <w:t xml:space="preserve"> </w:t>
      </w:r>
      <w:r w:rsidR="00B4411D">
        <w:rPr>
          <w:rFonts w:ascii="Tahoma" w:hAnsi="Tahoma" w:cs="Tahoma"/>
          <w:sz w:val="19"/>
          <w:szCs w:val="19"/>
        </w:rPr>
        <w:t xml:space="preserve">turns fairly stable </w:t>
      </w:r>
      <w:r w:rsidR="002B7B2B">
        <w:rPr>
          <w:rFonts w:ascii="Tahoma" w:hAnsi="Tahoma" w:cs="Tahoma"/>
          <w:sz w:val="19"/>
          <w:szCs w:val="19"/>
        </w:rPr>
        <w:t xml:space="preserve">(currently at </w:t>
      </w:r>
      <w:proofErr w:type="gramStart"/>
      <w:r w:rsidR="00171B04">
        <w:rPr>
          <w:rFonts w:ascii="Tahoma" w:hAnsi="Tahoma" w:cs="Tahoma"/>
          <w:sz w:val="19"/>
          <w:szCs w:val="19"/>
        </w:rPr>
        <w:t>c.</w:t>
      </w:r>
      <w:r w:rsidR="002B7B2B">
        <w:rPr>
          <w:rFonts w:ascii="Tahoma" w:hAnsi="Tahoma" w:cs="Tahoma"/>
          <w:sz w:val="19"/>
          <w:szCs w:val="19"/>
        </w:rPr>
        <w:t>USD</w:t>
      </w:r>
      <w:proofErr w:type="gramEnd"/>
      <w:r w:rsidR="002B7B2B">
        <w:rPr>
          <w:rFonts w:ascii="Tahoma" w:hAnsi="Tahoma" w:cs="Tahoma"/>
          <w:sz w:val="19"/>
          <w:szCs w:val="19"/>
        </w:rPr>
        <w:t>2</w:t>
      </w:r>
      <w:r w:rsidR="001B703B">
        <w:rPr>
          <w:rFonts w:ascii="Tahoma" w:hAnsi="Tahoma" w:cs="Tahoma"/>
          <w:sz w:val="19"/>
          <w:szCs w:val="19"/>
        </w:rPr>
        <w:t>1</w:t>
      </w:r>
      <w:r w:rsidR="002B7B2B">
        <w:rPr>
          <w:rFonts w:ascii="Tahoma" w:hAnsi="Tahoma" w:cs="Tahoma"/>
          <w:sz w:val="19"/>
          <w:szCs w:val="19"/>
        </w:rPr>
        <w:t>/1,000pcs) given that global inventory level is closing towards the end of de-stocking phase</w:t>
      </w:r>
      <w:r w:rsidR="00293D87">
        <w:rPr>
          <w:rFonts w:ascii="Tahoma" w:hAnsi="Tahoma" w:cs="Tahoma"/>
          <w:sz w:val="19"/>
          <w:szCs w:val="19"/>
        </w:rPr>
        <w:t>.</w:t>
      </w:r>
      <w:r w:rsidR="00CE6EA8">
        <w:rPr>
          <w:rFonts w:ascii="Tahoma" w:hAnsi="Tahoma" w:cs="Tahoma"/>
          <w:sz w:val="19"/>
          <w:szCs w:val="19"/>
        </w:rPr>
        <w:t xml:space="preserve"> HARTA remains committed to improve operational efficiency by leveraging onto automation and new technologies. Meanwhile, decommissioning of Bestari Jaya plant is expected to be completed in </w:t>
      </w:r>
      <w:r w:rsidR="00EB14C9">
        <w:rPr>
          <w:rFonts w:ascii="Tahoma" w:hAnsi="Tahoma" w:cs="Tahoma"/>
          <w:sz w:val="19"/>
          <w:szCs w:val="19"/>
        </w:rPr>
        <w:t>mid-January 2024</w:t>
      </w:r>
      <w:r w:rsidR="00CE6EA8">
        <w:rPr>
          <w:rFonts w:ascii="Tahoma" w:hAnsi="Tahoma" w:cs="Tahoma"/>
          <w:sz w:val="19"/>
          <w:szCs w:val="19"/>
        </w:rPr>
        <w:t>.</w:t>
      </w:r>
    </w:p>
    <w:p w14:paraId="3F099052" w14:textId="77777777" w:rsidR="00585110" w:rsidRPr="004302BF" w:rsidRDefault="00585110" w:rsidP="00A13240">
      <w:pPr>
        <w:pStyle w:val="ListParagraph"/>
        <w:ind w:left="3261" w:right="545" w:hanging="2552"/>
        <w:rPr>
          <w:rFonts w:ascii="Tahoma" w:hAnsi="Tahoma" w:cs="Tahoma"/>
          <w:bCs/>
          <w:sz w:val="19"/>
          <w:szCs w:val="19"/>
          <w:lang w:val="en-MY"/>
        </w:rPr>
      </w:pPr>
    </w:p>
    <w:p w14:paraId="6CF27606" w14:textId="7D912CFD" w:rsidR="00585110" w:rsidRPr="004302BF" w:rsidRDefault="00585110" w:rsidP="00A13240">
      <w:pPr>
        <w:pStyle w:val="ListParagraph"/>
        <w:numPr>
          <w:ilvl w:val="0"/>
          <w:numId w:val="1"/>
        </w:numPr>
        <w:ind w:left="3261" w:right="545" w:hanging="2552"/>
        <w:jc w:val="both"/>
        <w:rPr>
          <w:rFonts w:ascii="Tahoma" w:hAnsi="Tahoma" w:cs="Tahoma"/>
          <w:bCs/>
          <w:sz w:val="19"/>
          <w:szCs w:val="19"/>
          <w:lang w:val="en-MY"/>
        </w:rPr>
      </w:pPr>
      <w:r w:rsidRPr="004302BF">
        <w:rPr>
          <w:rFonts w:ascii="Tahoma" w:hAnsi="Tahoma" w:cs="Tahoma"/>
          <w:b/>
          <w:sz w:val="19"/>
          <w:szCs w:val="19"/>
          <w:lang w:val="en-MY"/>
        </w:rPr>
        <w:t>Valuation</w:t>
      </w:r>
      <w:r w:rsidRPr="00200B82">
        <w:rPr>
          <w:rFonts w:ascii="Tahoma" w:hAnsi="Tahoma" w:cs="Tahoma"/>
          <w:bCs/>
          <w:sz w:val="19"/>
          <w:szCs w:val="19"/>
          <w:lang w:val="en-MY"/>
        </w:rPr>
        <w:t>.</w:t>
      </w:r>
      <w:r w:rsidRPr="004302BF">
        <w:rPr>
          <w:rFonts w:ascii="Tahoma" w:hAnsi="Tahoma" w:cs="Tahoma"/>
          <w:b/>
          <w:sz w:val="19"/>
          <w:szCs w:val="19"/>
          <w:lang w:val="en-MY"/>
        </w:rPr>
        <w:t xml:space="preserve"> </w:t>
      </w:r>
      <w:r w:rsidR="00967305">
        <w:rPr>
          <w:rFonts w:ascii="Tahoma" w:hAnsi="Tahoma" w:cs="Tahoma"/>
          <w:bCs/>
          <w:sz w:val="19"/>
          <w:szCs w:val="19"/>
          <w:lang w:val="en-MY"/>
        </w:rPr>
        <w:t>Trimmed our earnings forecast by 2</w:t>
      </w:r>
      <w:r w:rsidR="00E15C82">
        <w:rPr>
          <w:rFonts w:ascii="Tahoma" w:hAnsi="Tahoma" w:cs="Tahoma"/>
          <w:bCs/>
          <w:sz w:val="19"/>
          <w:szCs w:val="19"/>
          <w:lang w:val="en-MY"/>
        </w:rPr>
        <w:t>7.5</w:t>
      </w:r>
      <w:r w:rsidR="00967305">
        <w:rPr>
          <w:rFonts w:ascii="Tahoma" w:hAnsi="Tahoma" w:cs="Tahoma"/>
          <w:bCs/>
          <w:sz w:val="19"/>
          <w:szCs w:val="19"/>
          <w:lang w:val="en-MY"/>
        </w:rPr>
        <w:t xml:space="preserve">% and 16.3% for FY24F and FY25F respectively to </w:t>
      </w:r>
      <w:r w:rsidR="003052B0">
        <w:rPr>
          <w:rFonts w:ascii="Tahoma" w:hAnsi="Tahoma" w:cs="Tahoma"/>
          <w:bCs/>
          <w:sz w:val="19"/>
          <w:szCs w:val="19"/>
          <w:lang w:val="en-MY"/>
        </w:rPr>
        <w:t>adjust</w:t>
      </w:r>
      <w:r w:rsidR="00967305">
        <w:rPr>
          <w:rFonts w:ascii="Tahoma" w:hAnsi="Tahoma" w:cs="Tahoma"/>
          <w:bCs/>
          <w:sz w:val="19"/>
          <w:szCs w:val="19"/>
          <w:lang w:val="en-MY"/>
        </w:rPr>
        <w:t xml:space="preserve"> for the </w:t>
      </w:r>
      <w:r w:rsidR="00E15C82">
        <w:rPr>
          <w:rFonts w:ascii="Tahoma" w:hAnsi="Tahoma" w:cs="Tahoma"/>
          <w:bCs/>
          <w:sz w:val="19"/>
          <w:szCs w:val="19"/>
          <w:lang w:val="en-MY"/>
        </w:rPr>
        <w:t>higher effective tax rate</w:t>
      </w:r>
      <w:r w:rsidRPr="004302BF">
        <w:rPr>
          <w:rFonts w:ascii="Tahoma" w:hAnsi="Tahoma" w:cs="Tahoma"/>
          <w:bCs/>
          <w:sz w:val="19"/>
          <w:szCs w:val="19"/>
          <w:lang w:val="en-MY"/>
        </w:rPr>
        <w:t xml:space="preserve">. Re-iterate our </w:t>
      </w:r>
      <w:r w:rsidR="00A20042">
        <w:rPr>
          <w:rFonts w:ascii="Tahoma" w:hAnsi="Tahoma" w:cs="Tahoma"/>
          <w:b/>
          <w:sz w:val="19"/>
          <w:szCs w:val="19"/>
          <w:lang w:val="en-MY"/>
        </w:rPr>
        <w:t>SELL</w:t>
      </w:r>
      <w:r w:rsidRPr="004302BF">
        <w:rPr>
          <w:rFonts w:ascii="Tahoma" w:hAnsi="Tahoma" w:cs="Tahoma"/>
          <w:bCs/>
          <w:sz w:val="19"/>
          <w:szCs w:val="19"/>
          <w:lang w:val="en-MY"/>
        </w:rPr>
        <w:t xml:space="preserve"> recommendation on </w:t>
      </w:r>
      <w:r w:rsidR="003508D1">
        <w:rPr>
          <w:rFonts w:ascii="Tahoma" w:hAnsi="Tahoma" w:cs="Tahoma"/>
          <w:bCs/>
          <w:sz w:val="19"/>
          <w:szCs w:val="19"/>
          <w:lang w:val="en-MY"/>
        </w:rPr>
        <w:t>HARTA</w:t>
      </w:r>
      <w:r w:rsidR="003052B0">
        <w:rPr>
          <w:rFonts w:ascii="Tahoma" w:hAnsi="Tahoma" w:cs="Tahoma"/>
          <w:bCs/>
          <w:sz w:val="19"/>
          <w:szCs w:val="19"/>
          <w:lang w:val="en-MY"/>
        </w:rPr>
        <w:t>, but</w:t>
      </w:r>
      <w:r w:rsidRPr="004302BF">
        <w:rPr>
          <w:rFonts w:ascii="Tahoma" w:hAnsi="Tahoma" w:cs="Tahoma"/>
          <w:bCs/>
          <w:sz w:val="19"/>
          <w:szCs w:val="19"/>
          <w:lang w:val="en-MY"/>
        </w:rPr>
        <w:t xml:space="preserve"> with a higher target price of RM</w:t>
      </w:r>
      <w:r w:rsidR="00255DEE">
        <w:rPr>
          <w:rFonts w:ascii="Tahoma" w:hAnsi="Tahoma" w:cs="Tahoma"/>
          <w:bCs/>
          <w:sz w:val="19"/>
          <w:szCs w:val="19"/>
          <w:lang w:val="en-MY"/>
        </w:rPr>
        <w:t>2.09 based on 1.5x of BV</w:t>
      </w:r>
      <w:r w:rsidR="00967305">
        <w:rPr>
          <w:rFonts w:ascii="Tahoma" w:hAnsi="Tahoma" w:cs="Tahoma"/>
          <w:bCs/>
          <w:sz w:val="19"/>
          <w:szCs w:val="19"/>
          <w:lang w:val="en-MY"/>
        </w:rPr>
        <w:t xml:space="preserve"> as we roll over our valuation metrics to FY25F</w:t>
      </w:r>
      <w:r w:rsidRPr="004302BF">
        <w:rPr>
          <w:rFonts w:ascii="Tahoma" w:hAnsi="Tahoma" w:cs="Tahoma"/>
          <w:bCs/>
          <w:sz w:val="19"/>
          <w:szCs w:val="19"/>
          <w:lang w:val="en-MY"/>
        </w:rPr>
        <w:t>.</w:t>
      </w:r>
    </w:p>
    <w:p w14:paraId="2CA6B506" w14:textId="77777777" w:rsidR="00585110" w:rsidRPr="004302BF" w:rsidRDefault="00585110" w:rsidP="00A13240">
      <w:pPr>
        <w:pStyle w:val="ListParagraph"/>
        <w:ind w:left="3261" w:right="545" w:hanging="2552"/>
        <w:jc w:val="both"/>
        <w:rPr>
          <w:rFonts w:ascii="Tahoma" w:hAnsi="Tahoma" w:cs="Tahoma"/>
          <w:bCs/>
          <w:sz w:val="19"/>
          <w:szCs w:val="19"/>
          <w:lang w:val="en-MY"/>
        </w:rPr>
      </w:pPr>
    </w:p>
    <w:p w14:paraId="5FD607F2" w14:textId="03235735" w:rsidR="00C82D17" w:rsidRDefault="00585110" w:rsidP="00C82D17">
      <w:pPr>
        <w:pStyle w:val="ListParagraph"/>
        <w:numPr>
          <w:ilvl w:val="0"/>
          <w:numId w:val="1"/>
        </w:numPr>
        <w:ind w:left="3261" w:right="545" w:hanging="2552"/>
        <w:jc w:val="both"/>
        <w:rPr>
          <w:rFonts w:ascii="Tahoma" w:hAnsi="Tahoma" w:cs="Tahoma"/>
          <w:bCs/>
          <w:sz w:val="19"/>
          <w:szCs w:val="19"/>
          <w:lang w:val="en-MY"/>
        </w:rPr>
      </w:pPr>
      <w:r w:rsidRPr="004302BF">
        <w:rPr>
          <w:rFonts w:ascii="Tahoma" w:hAnsi="Tahoma" w:cs="Tahoma"/>
          <w:b/>
          <w:sz w:val="19"/>
          <w:szCs w:val="19"/>
          <w:lang w:val="en-MY"/>
        </w:rPr>
        <w:t>Risk</w:t>
      </w:r>
      <w:r w:rsidRPr="00200B82">
        <w:rPr>
          <w:rFonts w:ascii="Tahoma" w:hAnsi="Tahoma" w:cs="Tahoma"/>
          <w:bCs/>
          <w:sz w:val="19"/>
          <w:szCs w:val="19"/>
          <w:lang w:val="en-MY"/>
        </w:rPr>
        <w:t>.</w:t>
      </w:r>
      <w:r w:rsidRPr="004302BF">
        <w:rPr>
          <w:rFonts w:ascii="Tahoma" w:hAnsi="Tahoma" w:cs="Tahoma"/>
          <w:b/>
          <w:sz w:val="19"/>
          <w:szCs w:val="19"/>
          <w:lang w:val="en-MY"/>
        </w:rPr>
        <w:t xml:space="preserve"> </w:t>
      </w:r>
      <w:r w:rsidR="00BB5357">
        <w:rPr>
          <w:rFonts w:ascii="Tahoma" w:hAnsi="Tahoma" w:cs="Tahoma"/>
          <w:bCs/>
          <w:sz w:val="19"/>
          <w:szCs w:val="19"/>
          <w:lang w:val="en-MY"/>
        </w:rPr>
        <w:t>Stronger</w:t>
      </w:r>
      <w:r w:rsidR="00C82D17">
        <w:rPr>
          <w:rFonts w:ascii="Tahoma" w:hAnsi="Tahoma" w:cs="Tahoma"/>
          <w:bCs/>
          <w:sz w:val="19"/>
          <w:szCs w:val="19"/>
          <w:lang w:val="en-MY"/>
        </w:rPr>
        <w:t xml:space="preserve">-than-expected demand and </w:t>
      </w:r>
      <w:r w:rsidR="00BB5357">
        <w:rPr>
          <w:rFonts w:ascii="Tahoma" w:hAnsi="Tahoma" w:cs="Tahoma"/>
          <w:bCs/>
          <w:sz w:val="19"/>
          <w:szCs w:val="19"/>
          <w:lang w:val="en-MY"/>
        </w:rPr>
        <w:t>swifter-than-expected</w:t>
      </w:r>
      <w:r w:rsidR="00C82D17">
        <w:rPr>
          <w:rFonts w:ascii="Tahoma" w:hAnsi="Tahoma" w:cs="Tahoma"/>
          <w:bCs/>
          <w:sz w:val="19"/>
          <w:szCs w:val="19"/>
          <w:lang w:val="en-MY"/>
        </w:rPr>
        <w:t xml:space="preserve"> </w:t>
      </w:r>
      <w:r w:rsidR="00BB5357">
        <w:rPr>
          <w:rFonts w:ascii="Tahoma" w:hAnsi="Tahoma" w:cs="Tahoma"/>
          <w:bCs/>
          <w:sz w:val="19"/>
          <w:szCs w:val="19"/>
          <w:lang w:val="en-MY"/>
        </w:rPr>
        <w:t xml:space="preserve">recovery </w:t>
      </w:r>
      <w:r w:rsidR="00C82D17">
        <w:rPr>
          <w:rFonts w:ascii="Tahoma" w:hAnsi="Tahoma" w:cs="Tahoma"/>
          <w:bCs/>
          <w:sz w:val="19"/>
          <w:szCs w:val="19"/>
          <w:lang w:val="en-MY"/>
        </w:rPr>
        <w:t>in ASP</w:t>
      </w:r>
      <w:r w:rsidR="00C82D17" w:rsidRPr="004302BF">
        <w:rPr>
          <w:rFonts w:ascii="Tahoma" w:hAnsi="Tahoma" w:cs="Tahoma"/>
          <w:bCs/>
          <w:sz w:val="19"/>
          <w:szCs w:val="19"/>
          <w:lang w:val="en-MY"/>
        </w:rPr>
        <w:t xml:space="preserve">. Exposure to foreign exchange risk </w:t>
      </w:r>
      <w:r w:rsidR="00EB7948">
        <w:rPr>
          <w:rFonts w:ascii="Tahoma" w:hAnsi="Tahoma" w:cs="Tahoma"/>
          <w:bCs/>
          <w:sz w:val="19"/>
          <w:szCs w:val="19"/>
          <w:lang w:val="en-MY"/>
        </w:rPr>
        <w:t>and volatile purchase pattern</w:t>
      </w:r>
      <w:r w:rsidR="00C82D17" w:rsidRPr="004302BF">
        <w:rPr>
          <w:rFonts w:ascii="Tahoma" w:hAnsi="Tahoma" w:cs="Tahoma"/>
          <w:bCs/>
          <w:sz w:val="19"/>
          <w:szCs w:val="19"/>
          <w:lang w:val="en-MY"/>
        </w:rPr>
        <w:t>.</w:t>
      </w:r>
    </w:p>
    <w:p w14:paraId="160DE6ED" w14:textId="77777777" w:rsidR="005E6B74" w:rsidRPr="005E6B74" w:rsidRDefault="005E6B74" w:rsidP="005E6B74">
      <w:pPr>
        <w:pStyle w:val="ListParagraph"/>
        <w:rPr>
          <w:rFonts w:ascii="Tahoma" w:hAnsi="Tahoma" w:cs="Tahoma"/>
          <w:bCs/>
          <w:sz w:val="16"/>
          <w:szCs w:val="16"/>
          <w:lang w:val="en-MY"/>
        </w:rPr>
      </w:pPr>
    </w:p>
    <w:p w14:paraId="6E62FF97" w14:textId="6A523771" w:rsidR="00A37A0B" w:rsidRDefault="005E6B74" w:rsidP="00585110">
      <w:pPr>
        <w:ind w:left="3544" w:hanging="4537"/>
      </w:pPr>
      <w:r w:rsidRPr="005E6B74">
        <w:rPr>
          <w:noProof/>
        </w:rPr>
        <w:drawing>
          <wp:inline distT="0" distB="0" distL="0" distR="0" wp14:anchorId="150CAFE6" wp14:editId="12FF8BD4">
            <wp:extent cx="7105007" cy="1510747"/>
            <wp:effectExtent l="0" t="0" r="1270" b="0"/>
            <wp:docPr id="64669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4969" cy="1521371"/>
                    </a:xfrm>
                    <a:prstGeom prst="rect">
                      <a:avLst/>
                    </a:prstGeom>
                    <a:noFill/>
                    <a:ln>
                      <a:noFill/>
                    </a:ln>
                  </pic:spPr>
                </pic:pic>
              </a:graphicData>
            </a:graphic>
          </wp:inline>
        </w:drawing>
      </w:r>
    </w:p>
    <w:p w14:paraId="406AED6C" w14:textId="53708CC5" w:rsidR="00397D12" w:rsidRDefault="00D82D9F" w:rsidP="00585110">
      <w:pPr>
        <w:ind w:left="3544" w:hanging="4537"/>
      </w:pPr>
      <w:r>
        <w:object w:dxaOrig="10866" w:dyaOrig="9746" w14:anchorId="49C8C0DB">
          <v:shape id="_x0000_i1027" type="#_x0000_t75" style="width:557.2pt;height:500.25pt" o:ole="">
            <v:imagedata r:id="rId12" o:title=""/>
          </v:shape>
          <o:OLEObject Type="Link" ProgID="Excel.Sheet.12" ShapeID="_x0000_i1027" DrawAspect="Content" r:id="rId13" UpdateMode="Always">
            <o:LinkType>EnhancedMetaFile</o:LinkType>
            <o:LockedField>false</o:LockedField>
          </o:OLEObject>
        </w:object>
      </w:r>
    </w:p>
    <w:p w14:paraId="0718D5A9" w14:textId="77777777" w:rsidR="002A1FD6" w:rsidRDefault="002A1FD6" w:rsidP="002A1FD6">
      <w:pPr>
        <w:ind w:left="3544" w:hanging="283"/>
      </w:pPr>
    </w:p>
    <w:p w14:paraId="595E5F80" w14:textId="77777777" w:rsidR="00397D12" w:rsidRDefault="00397D12" w:rsidP="002A1FD6">
      <w:pPr>
        <w:ind w:left="3544" w:hanging="283"/>
      </w:pPr>
    </w:p>
    <w:p w14:paraId="7280F3BC" w14:textId="77777777" w:rsidR="00397D12" w:rsidRDefault="00397D12" w:rsidP="002A1FD6">
      <w:pPr>
        <w:ind w:left="3544" w:hanging="283"/>
      </w:pPr>
    </w:p>
    <w:p w14:paraId="7A1D0DB0" w14:textId="77777777" w:rsidR="00D161B9" w:rsidRDefault="00D161B9" w:rsidP="002A1FD6">
      <w:pPr>
        <w:ind w:left="3544" w:hanging="283"/>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2693"/>
        <w:gridCol w:w="2562"/>
      </w:tblGrid>
      <w:tr w:rsidR="002A1FD6" w14:paraId="7973D1C1" w14:textId="77777777" w:rsidTr="00AF362C">
        <w:tc>
          <w:tcPr>
            <w:tcW w:w="8804" w:type="dxa"/>
            <w:gridSpan w:val="3"/>
            <w:tcBorders>
              <w:top w:val="single" w:sz="18" w:space="0" w:color="4472C4" w:themeColor="accent1"/>
            </w:tcBorders>
          </w:tcPr>
          <w:p w14:paraId="6F0A4E89" w14:textId="77777777" w:rsidR="002A1FD6" w:rsidRPr="00560EAF" w:rsidRDefault="002A1FD6" w:rsidP="00A77222">
            <w:pPr>
              <w:jc w:val="center"/>
              <w:rPr>
                <w:b/>
                <w:bCs/>
              </w:rPr>
            </w:pPr>
            <w:r w:rsidRPr="00560EAF">
              <w:rPr>
                <w:b/>
                <w:bCs/>
              </w:rPr>
              <w:t>APEX SECURITIES BERHAD – CONTACT LIST</w:t>
            </w:r>
          </w:p>
        </w:tc>
      </w:tr>
      <w:tr w:rsidR="002A1FD6" w14:paraId="2FBBDEAD" w14:textId="77777777" w:rsidTr="00AF362C">
        <w:tc>
          <w:tcPr>
            <w:tcW w:w="3549" w:type="dxa"/>
            <w:tcBorders>
              <w:top w:val="single" w:sz="18" w:space="0" w:color="4472C4"/>
            </w:tcBorders>
          </w:tcPr>
          <w:p w14:paraId="6B42E035" w14:textId="77777777" w:rsidR="002A1FD6" w:rsidRPr="00560EAF" w:rsidRDefault="002A1FD6" w:rsidP="00A77222">
            <w:pPr>
              <w:pStyle w:val="NoSpacing"/>
              <w:rPr>
                <w:rFonts w:ascii="Tahoma" w:hAnsi="Tahoma" w:cs="Tahoma"/>
                <w:b/>
                <w:bCs/>
                <w:sz w:val="16"/>
                <w:szCs w:val="16"/>
              </w:rPr>
            </w:pPr>
            <w:r w:rsidRPr="00585110">
              <w:rPr>
                <w:rFonts w:ascii="Tahoma" w:hAnsi="Tahoma" w:cs="Tahoma"/>
                <w:b/>
                <w:bCs/>
                <w:sz w:val="16"/>
                <w:szCs w:val="16"/>
              </w:rPr>
              <w:t>APEX SECURITIES BHD</w:t>
            </w:r>
          </w:p>
        </w:tc>
        <w:tc>
          <w:tcPr>
            <w:tcW w:w="2693" w:type="dxa"/>
            <w:tcBorders>
              <w:top w:val="single" w:sz="18" w:space="0" w:color="4472C4" w:themeColor="accent1"/>
            </w:tcBorders>
          </w:tcPr>
          <w:p w14:paraId="7FA03E45" w14:textId="77777777" w:rsidR="002A1FD6" w:rsidRDefault="002A1FD6" w:rsidP="00A77222">
            <w:r w:rsidRPr="00585110">
              <w:rPr>
                <w:rFonts w:ascii="Tahoma" w:hAnsi="Tahoma" w:cs="Tahoma"/>
                <w:b/>
                <w:bCs/>
                <w:sz w:val="16"/>
                <w:szCs w:val="16"/>
              </w:rPr>
              <w:t>DEALING TEAM</w:t>
            </w:r>
          </w:p>
        </w:tc>
        <w:tc>
          <w:tcPr>
            <w:tcW w:w="2562" w:type="dxa"/>
            <w:tcBorders>
              <w:top w:val="single" w:sz="18" w:space="0" w:color="4472C4" w:themeColor="accent1"/>
            </w:tcBorders>
          </w:tcPr>
          <w:p w14:paraId="4181E85C" w14:textId="77777777" w:rsidR="002A1FD6" w:rsidRPr="00560EAF" w:rsidRDefault="002A1FD6" w:rsidP="00A77222">
            <w:pPr>
              <w:pStyle w:val="NoSpacing"/>
              <w:rPr>
                <w:rFonts w:ascii="Tahoma" w:hAnsi="Tahoma" w:cs="Tahoma"/>
                <w:b/>
                <w:bCs/>
                <w:sz w:val="16"/>
                <w:szCs w:val="16"/>
              </w:rPr>
            </w:pPr>
            <w:r w:rsidRPr="00585110">
              <w:rPr>
                <w:rFonts w:ascii="Tahoma" w:hAnsi="Tahoma" w:cs="Tahoma"/>
                <w:b/>
                <w:bCs/>
                <w:sz w:val="16"/>
                <w:szCs w:val="16"/>
              </w:rPr>
              <w:t>RESEARCH TEAM</w:t>
            </w:r>
          </w:p>
        </w:tc>
      </w:tr>
      <w:tr w:rsidR="002A1FD6" w14:paraId="2CB9FF68" w14:textId="77777777" w:rsidTr="00AF362C">
        <w:tc>
          <w:tcPr>
            <w:tcW w:w="3549" w:type="dxa"/>
          </w:tcPr>
          <w:p w14:paraId="555A50BD" w14:textId="77777777" w:rsidR="002A1FD6" w:rsidRDefault="002A1FD6" w:rsidP="00A77222"/>
        </w:tc>
        <w:tc>
          <w:tcPr>
            <w:tcW w:w="2693" w:type="dxa"/>
          </w:tcPr>
          <w:p w14:paraId="04D83DDA" w14:textId="77777777" w:rsidR="002A1FD6" w:rsidRDefault="002A1FD6" w:rsidP="00A77222"/>
        </w:tc>
        <w:tc>
          <w:tcPr>
            <w:tcW w:w="2562" w:type="dxa"/>
          </w:tcPr>
          <w:p w14:paraId="76C989D7" w14:textId="77777777" w:rsidR="002A1FD6" w:rsidRDefault="002A1FD6" w:rsidP="00A77222"/>
        </w:tc>
      </w:tr>
      <w:tr w:rsidR="002A1FD6" w14:paraId="21817E21" w14:textId="77777777" w:rsidTr="00AF362C">
        <w:tc>
          <w:tcPr>
            <w:tcW w:w="3549" w:type="dxa"/>
          </w:tcPr>
          <w:p w14:paraId="76880DD2" w14:textId="77777777" w:rsidR="002A1FD6" w:rsidRPr="00585110" w:rsidRDefault="002A1FD6" w:rsidP="00A77222">
            <w:pPr>
              <w:pStyle w:val="NoSpacing"/>
              <w:rPr>
                <w:rFonts w:ascii="Tahoma" w:hAnsi="Tahoma" w:cs="Tahoma"/>
                <w:b/>
                <w:bCs/>
                <w:sz w:val="16"/>
                <w:szCs w:val="16"/>
              </w:rPr>
            </w:pPr>
            <w:r w:rsidRPr="00585110">
              <w:rPr>
                <w:rFonts w:ascii="Tahoma" w:hAnsi="Tahoma" w:cs="Tahoma"/>
                <w:b/>
                <w:bCs/>
                <w:sz w:val="16"/>
                <w:szCs w:val="16"/>
              </w:rPr>
              <w:t>Head Office:</w:t>
            </w:r>
          </w:p>
          <w:p w14:paraId="5C8737B6"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6th Floor, Menara Apex,</w:t>
            </w:r>
          </w:p>
          <w:p w14:paraId="4A7115DC"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Off Jalan Semenyih,</w:t>
            </w:r>
          </w:p>
          <w:p w14:paraId="6F608378"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 xml:space="preserve">Bukit </w:t>
            </w:r>
            <w:proofErr w:type="spellStart"/>
            <w:r w:rsidRPr="00264276">
              <w:rPr>
                <w:rFonts w:ascii="Tahoma" w:hAnsi="Tahoma" w:cs="Tahoma"/>
                <w:sz w:val="16"/>
                <w:szCs w:val="16"/>
              </w:rPr>
              <w:t>Mewah</w:t>
            </w:r>
            <w:proofErr w:type="spellEnd"/>
            <w:r w:rsidRPr="00264276">
              <w:rPr>
                <w:rFonts w:ascii="Tahoma" w:hAnsi="Tahoma" w:cs="Tahoma"/>
                <w:sz w:val="16"/>
                <w:szCs w:val="16"/>
              </w:rPr>
              <w:t xml:space="preserve"> 43000 </w:t>
            </w:r>
            <w:proofErr w:type="spellStart"/>
            <w:r w:rsidRPr="00264276">
              <w:rPr>
                <w:rFonts w:ascii="Tahoma" w:hAnsi="Tahoma" w:cs="Tahoma"/>
                <w:sz w:val="16"/>
                <w:szCs w:val="16"/>
              </w:rPr>
              <w:t>Kajang</w:t>
            </w:r>
            <w:proofErr w:type="spellEnd"/>
            <w:r w:rsidRPr="00264276">
              <w:rPr>
                <w:rFonts w:ascii="Tahoma" w:hAnsi="Tahoma" w:cs="Tahoma"/>
                <w:sz w:val="16"/>
                <w:szCs w:val="16"/>
              </w:rPr>
              <w:t>,</w:t>
            </w:r>
          </w:p>
          <w:p w14:paraId="64A077AC"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Selangor Darul Ehsan, Malaysia</w:t>
            </w:r>
          </w:p>
          <w:p w14:paraId="7B1BDCAB" w14:textId="77777777" w:rsidR="002A1FD6" w:rsidRPr="00264276" w:rsidRDefault="002A1FD6" w:rsidP="00A77222">
            <w:pPr>
              <w:pStyle w:val="NoSpacing"/>
              <w:rPr>
                <w:rFonts w:ascii="Tahoma" w:hAnsi="Tahoma" w:cs="Tahoma"/>
                <w:sz w:val="16"/>
                <w:szCs w:val="16"/>
              </w:rPr>
            </w:pPr>
          </w:p>
          <w:p w14:paraId="76ED8E7E" w14:textId="77777777" w:rsidR="002A1FD6" w:rsidRDefault="002A1FD6" w:rsidP="00A77222">
            <w:pPr>
              <w:pStyle w:val="NoSpacing"/>
              <w:rPr>
                <w:rFonts w:ascii="Tahoma" w:hAnsi="Tahoma" w:cs="Tahoma"/>
                <w:sz w:val="16"/>
                <w:szCs w:val="16"/>
              </w:rPr>
            </w:pPr>
            <w:r w:rsidRPr="00264276">
              <w:rPr>
                <w:rFonts w:ascii="Tahoma" w:hAnsi="Tahoma" w:cs="Tahoma"/>
                <w:sz w:val="16"/>
                <w:szCs w:val="16"/>
              </w:rPr>
              <w:t>General Line: (603) 8736 1118</w:t>
            </w:r>
          </w:p>
          <w:p w14:paraId="12807A14" w14:textId="77777777" w:rsidR="002A1FD6" w:rsidRPr="00560EAF" w:rsidRDefault="002A1FD6" w:rsidP="00A77222">
            <w:pPr>
              <w:pStyle w:val="NoSpacing"/>
              <w:rPr>
                <w:rFonts w:ascii="Tahoma" w:hAnsi="Tahoma" w:cs="Tahoma"/>
                <w:sz w:val="16"/>
                <w:szCs w:val="16"/>
              </w:rPr>
            </w:pPr>
          </w:p>
        </w:tc>
        <w:tc>
          <w:tcPr>
            <w:tcW w:w="2693" w:type="dxa"/>
          </w:tcPr>
          <w:p w14:paraId="65D7FFF2" w14:textId="77777777" w:rsidR="002A1FD6" w:rsidRPr="00585110" w:rsidRDefault="002A1FD6" w:rsidP="00A77222">
            <w:pPr>
              <w:pStyle w:val="NoSpacing"/>
              <w:rPr>
                <w:rFonts w:ascii="Tahoma" w:hAnsi="Tahoma" w:cs="Tahoma"/>
                <w:b/>
                <w:bCs/>
                <w:sz w:val="16"/>
                <w:szCs w:val="16"/>
              </w:rPr>
            </w:pPr>
            <w:r w:rsidRPr="00585110">
              <w:rPr>
                <w:rFonts w:ascii="Tahoma" w:hAnsi="Tahoma" w:cs="Tahoma"/>
                <w:b/>
                <w:bCs/>
                <w:sz w:val="16"/>
                <w:szCs w:val="16"/>
              </w:rPr>
              <w:t>Head Office:</w:t>
            </w:r>
          </w:p>
          <w:p w14:paraId="2A82C6F9" w14:textId="77777777" w:rsidR="002A1FD6" w:rsidRPr="00585110" w:rsidRDefault="002A1FD6" w:rsidP="00A77222">
            <w:pPr>
              <w:pStyle w:val="NoSpacing"/>
              <w:rPr>
                <w:rFonts w:ascii="Tahoma" w:hAnsi="Tahoma" w:cs="Tahoma"/>
                <w:sz w:val="16"/>
                <w:szCs w:val="16"/>
              </w:rPr>
            </w:pPr>
            <w:r w:rsidRPr="00585110">
              <w:rPr>
                <w:rFonts w:ascii="Tahoma" w:hAnsi="Tahoma" w:cs="Tahoma"/>
                <w:sz w:val="16"/>
                <w:szCs w:val="16"/>
              </w:rPr>
              <w:t xml:space="preserve">Kong Ming </w:t>
            </w:r>
            <w:proofErr w:type="spellStart"/>
            <w:r w:rsidRPr="00585110">
              <w:rPr>
                <w:rFonts w:ascii="Tahoma" w:hAnsi="Tahoma" w:cs="Tahoma"/>
                <w:sz w:val="16"/>
                <w:szCs w:val="16"/>
              </w:rPr>
              <w:t>Ming</w:t>
            </w:r>
            <w:proofErr w:type="spellEnd"/>
            <w:r w:rsidRPr="00585110">
              <w:rPr>
                <w:rFonts w:ascii="Tahoma" w:hAnsi="Tahoma" w:cs="Tahoma"/>
                <w:sz w:val="16"/>
                <w:szCs w:val="16"/>
              </w:rPr>
              <w:t xml:space="preserve"> (</w:t>
            </w:r>
            <w:proofErr w:type="spellStart"/>
            <w:r w:rsidRPr="00585110">
              <w:rPr>
                <w:rFonts w:ascii="Tahoma" w:hAnsi="Tahoma" w:cs="Tahoma"/>
                <w:sz w:val="16"/>
                <w:szCs w:val="16"/>
              </w:rPr>
              <w:t>ext</w:t>
            </w:r>
            <w:proofErr w:type="spellEnd"/>
            <w:r w:rsidRPr="00585110">
              <w:rPr>
                <w:rFonts w:ascii="Tahoma" w:hAnsi="Tahoma" w:cs="Tahoma"/>
                <w:sz w:val="16"/>
                <w:szCs w:val="16"/>
              </w:rPr>
              <w:t xml:space="preserve"> 2002)</w:t>
            </w:r>
          </w:p>
          <w:p w14:paraId="7618130C" w14:textId="77777777" w:rsidR="002A1FD6" w:rsidRPr="00585110" w:rsidRDefault="002A1FD6" w:rsidP="00A77222">
            <w:pPr>
              <w:pStyle w:val="NoSpacing"/>
              <w:rPr>
                <w:rFonts w:ascii="Tahoma" w:hAnsi="Tahoma" w:cs="Tahoma"/>
                <w:sz w:val="16"/>
                <w:szCs w:val="16"/>
              </w:rPr>
            </w:pPr>
            <w:r w:rsidRPr="00585110">
              <w:rPr>
                <w:rFonts w:ascii="Tahoma" w:hAnsi="Tahoma" w:cs="Tahoma"/>
                <w:sz w:val="16"/>
                <w:szCs w:val="16"/>
              </w:rPr>
              <w:t>Shirley Chang (</w:t>
            </w:r>
            <w:proofErr w:type="spellStart"/>
            <w:r w:rsidRPr="00585110">
              <w:rPr>
                <w:rFonts w:ascii="Tahoma" w:hAnsi="Tahoma" w:cs="Tahoma"/>
                <w:sz w:val="16"/>
                <w:szCs w:val="16"/>
              </w:rPr>
              <w:t>ext</w:t>
            </w:r>
            <w:proofErr w:type="spellEnd"/>
            <w:r w:rsidRPr="00585110">
              <w:rPr>
                <w:rFonts w:ascii="Tahoma" w:hAnsi="Tahoma" w:cs="Tahoma"/>
                <w:sz w:val="16"/>
                <w:szCs w:val="16"/>
              </w:rPr>
              <w:t xml:space="preserve"> 2026)</w:t>
            </w:r>
          </w:p>
          <w:p w14:paraId="149FB656" w14:textId="77777777" w:rsidR="002A1FD6" w:rsidRPr="00585110" w:rsidRDefault="002A1FD6" w:rsidP="00A77222">
            <w:pPr>
              <w:pStyle w:val="NoSpacing"/>
              <w:rPr>
                <w:rFonts w:ascii="Tahoma" w:hAnsi="Tahoma" w:cs="Tahoma"/>
                <w:sz w:val="16"/>
                <w:szCs w:val="16"/>
              </w:rPr>
            </w:pPr>
            <w:proofErr w:type="spellStart"/>
            <w:r w:rsidRPr="00585110">
              <w:rPr>
                <w:rFonts w:ascii="Tahoma" w:hAnsi="Tahoma" w:cs="Tahoma"/>
                <w:sz w:val="16"/>
                <w:szCs w:val="16"/>
              </w:rPr>
              <w:t>Norisam</w:t>
            </w:r>
            <w:proofErr w:type="spellEnd"/>
            <w:r w:rsidRPr="00585110">
              <w:rPr>
                <w:rFonts w:ascii="Tahoma" w:hAnsi="Tahoma" w:cs="Tahoma"/>
                <w:sz w:val="16"/>
                <w:szCs w:val="16"/>
              </w:rPr>
              <w:t xml:space="preserve"> </w:t>
            </w:r>
            <w:proofErr w:type="spellStart"/>
            <w:r w:rsidRPr="00585110">
              <w:rPr>
                <w:rFonts w:ascii="Tahoma" w:hAnsi="Tahoma" w:cs="Tahoma"/>
                <w:sz w:val="16"/>
                <w:szCs w:val="16"/>
              </w:rPr>
              <w:t>Bojo</w:t>
            </w:r>
            <w:proofErr w:type="spellEnd"/>
            <w:r w:rsidRPr="00585110">
              <w:rPr>
                <w:rFonts w:ascii="Tahoma" w:hAnsi="Tahoma" w:cs="Tahoma"/>
                <w:sz w:val="16"/>
                <w:szCs w:val="16"/>
              </w:rPr>
              <w:t xml:space="preserve"> (</w:t>
            </w:r>
            <w:proofErr w:type="spellStart"/>
            <w:r w:rsidRPr="00585110">
              <w:rPr>
                <w:rFonts w:ascii="Tahoma" w:hAnsi="Tahoma" w:cs="Tahoma"/>
                <w:sz w:val="16"/>
                <w:szCs w:val="16"/>
              </w:rPr>
              <w:t>ext</w:t>
            </w:r>
            <w:proofErr w:type="spellEnd"/>
            <w:r w:rsidRPr="00585110">
              <w:rPr>
                <w:rFonts w:ascii="Tahoma" w:hAnsi="Tahoma" w:cs="Tahoma"/>
                <w:sz w:val="16"/>
                <w:szCs w:val="16"/>
              </w:rPr>
              <w:t xml:space="preserve"> 2027)</w:t>
            </w:r>
          </w:p>
          <w:p w14:paraId="4E22C833" w14:textId="77777777" w:rsidR="002A1FD6" w:rsidRPr="00585110" w:rsidRDefault="002A1FD6" w:rsidP="00A77222">
            <w:pPr>
              <w:pStyle w:val="NoSpacing"/>
              <w:rPr>
                <w:rFonts w:ascii="Tahoma" w:hAnsi="Tahoma" w:cs="Tahoma"/>
                <w:sz w:val="16"/>
                <w:szCs w:val="16"/>
              </w:rPr>
            </w:pPr>
            <w:r w:rsidRPr="00585110">
              <w:rPr>
                <w:rFonts w:ascii="Tahoma" w:hAnsi="Tahoma" w:cs="Tahoma"/>
                <w:sz w:val="16"/>
                <w:szCs w:val="16"/>
              </w:rPr>
              <w:t>Ahmad Mujib (</w:t>
            </w:r>
            <w:proofErr w:type="spellStart"/>
            <w:r w:rsidRPr="00585110">
              <w:rPr>
                <w:rFonts w:ascii="Tahoma" w:hAnsi="Tahoma" w:cs="Tahoma"/>
                <w:sz w:val="16"/>
                <w:szCs w:val="16"/>
              </w:rPr>
              <w:t>ext</w:t>
            </w:r>
            <w:proofErr w:type="spellEnd"/>
            <w:r w:rsidRPr="00585110">
              <w:rPr>
                <w:rFonts w:ascii="Tahoma" w:hAnsi="Tahoma" w:cs="Tahoma"/>
                <w:sz w:val="16"/>
                <w:szCs w:val="16"/>
              </w:rPr>
              <w:t xml:space="preserve"> 2028)</w:t>
            </w:r>
          </w:p>
          <w:p w14:paraId="276726E5" w14:textId="77777777" w:rsidR="002A1FD6" w:rsidRDefault="002A1FD6" w:rsidP="00A77222"/>
        </w:tc>
        <w:tc>
          <w:tcPr>
            <w:tcW w:w="2562" w:type="dxa"/>
          </w:tcPr>
          <w:p w14:paraId="3B4BD4EA" w14:textId="77777777" w:rsidR="002A1FD6" w:rsidRDefault="002A1FD6" w:rsidP="00A77222">
            <w:pPr>
              <w:pStyle w:val="NoSpacing"/>
              <w:rPr>
                <w:rFonts w:ascii="Tahoma" w:hAnsi="Tahoma" w:cs="Tahoma"/>
                <w:b/>
                <w:bCs/>
                <w:sz w:val="16"/>
                <w:szCs w:val="16"/>
              </w:rPr>
            </w:pPr>
            <w:r w:rsidRPr="00264276">
              <w:rPr>
                <w:rFonts w:ascii="Tahoma" w:hAnsi="Tahoma" w:cs="Tahoma"/>
                <w:b/>
                <w:bCs/>
                <w:sz w:val="16"/>
                <w:szCs w:val="16"/>
              </w:rPr>
              <w:t>Mutiara Damansara Office:</w:t>
            </w:r>
          </w:p>
          <w:p w14:paraId="6733F7E9" w14:textId="77777777" w:rsidR="002A1FD6" w:rsidRDefault="002A1FD6" w:rsidP="00A77222">
            <w:pPr>
              <w:pStyle w:val="NoSpacing"/>
              <w:rPr>
                <w:rFonts w:ascii="Tahoma" w:hAnsi="Tahoma" w:cs="Tahoma"/>
                <w:sz w:val="16"/>
                <w:szCs w:val="16"/>
              </w:rPr>
            </w:pPr>
            <w:r>
              <w:rPr>
                <w:rFonts w:ascii="Tahoma" w:hAnsi="Tahoma" w:cs="Tahoma"/>
                <w:sz w:val="16"/>
                <w:szCs w:val="16"/>
              </w:rPr>
              <w:t>Kenneth Leong (</w:t>
            </w:r>
            <w:proofErr w:type="spellStart"/>
            <w:r>
              <w:rPr>
                <w:rFonts w:ascii="Tahoma" w:hAnsi="Tahoma" w:cs="Tahoma"/>
                <w:sz w:val="16"/>
                <w:szCs w:val="16"/>
              </w:rPr>
              <w:t>ext</w:t>
            </w:r>
            <w:proofErr w:type="spellEnd"/>
            <w:r>
              <w:rPr>
                <w:rFonts w:ascii="Tahoma" w:hAnsi="Tahoma" w:cs="Tahoma"/>
                <w:sz w:val="16"/>
                <w:szCs w:val="16"/>
              </w:rPr>
              <w:t xml:space="preserve"> 2093)</w:t>
            </w:r>
          </w:p>
          <w:p w14:paraId="4FBA9CDB" w14:textId="77777777" w:rsidR="002A1FD6" w:rsidRPr="00585110" w:rsidRDefault="002A1FD6" w:rsidP="00A77222">
            <w:pPr>
              <w:pStyle w:val="NoSpacing"/>
              <w:rPr>
                <w:rFonts w:ascii="Tahoma" w:hAnsi="Tahoma" w:cs="Tahoma"/>
                <w:sz w:val="16"/>
                <w:szCs w:val="16"/>
              </w:rPr>
            </w:pPr>
            <w:r w:rsidRPr="00585110">
              <w:rPr>
                <w:rFonts w:ascii="Tahoma" w:hAnsi="Tahoma" w:cs="Tahoma"/>
                <w:sz w:val="16"/>
                <w:szCs w:val="16"/>
              </w:rPr>
              <w:t>Lee Cherng Wee (</w:t>
            </w:r>
            <w:proofErr w:type="spellStart"/>
            <w:r w:rsidRPr="00585110">
              <w:rPr>
                <w:rFonts w:ascii="Tahoma" w:hAnsi="Tahoma" w:cs="Tahoma"/>
                <w:sz w:val="16"/>
                <w:szCs w:val="16"/>
              </w:rPr>
              <w:t>ext</w:t>
            </w:r>
            <w:proofErr w:type="spellEnd"/>
            <w:r w:rsidRPr="00585110">
              <w:rPr>
                <w:rFonts w:ascii="Tahoma" w:hAnsi="Tahoma" w:cs="Tahoma"/>
                <w:sz w:val="16"/>
                <w:szCs w:val="16"/>
              </w:rPr>
              <w:t xml:space="preserve"> 2067)</w:t>
            </w:r>
          </w:p>
          <w:p w14:paraId="45205706" w14:textId="77777777" w:rsidR="002A1FD6" w:rsidRDefault="002A1FD6" w:rsidP="00A77222">
            <w:pPr>
              <w:pStyle w:val="NoSpacing"/>
              <w:rPr>
                <w:rFonts w:ascii="Tahoma" w:hAnsi="Tahoma" w:cs="Tahoma"/>
                <w:sz w:val="16"/>
                <w:szCs w:val="16"/>
                <w:lang w:eastAsia="ja-JP"/>
              </w:rPr>
            </w:pPr>
            <w:r w:rsidRPr="00585110">
              <w:rPr>
                <w:rFonts w:ascii="Tahoma" w:hAnsi="Tahoma" w:cs="Tahoma"/>
                <w:sz w:val="16"/>
                <w:szCs w:val="16"/>
                <w:lang w:eastAsia="ja-JP"/>
              </w:rPr>
              <w:t>Steven Chong (</w:t>
            </w:r>
            <w:proofErr w:type="spellStart"/>
            <w:r w:rsidRPr="00585110">
              <w:rPr>
                <w:rFonts w:ascii="Tahoma" w:hAnsi="Tahoma" w:cs="Tahoma"/>
                <w:sz w:val="16"/>
                <w:szCs w:val="16"/>
                <w:lang w:eastAsia="ja-JP"/>
              </w:rPr>
              <w:t>ext</w:t>
            </w:r>
            <w:proofErr w:type="spellEnd"/>
            <w:r w:rsidRPr="00585110">
              <w:rPr>
                <w:rFonts w:ascii="Tahoma" w:hAnsi="Tahoma" w:cs="Tahoma"/>
                <w:sz w:val="16"/>
                <w:szCs w:val="16"/>
                <w:lang w:eastAsia="ja-JP"/>
              </w:rPr>
              <w:t xml:space="preserve"> 2068)</w:t>
            </w:r>
          </w:p>
          <w:p w14:paraId="04B75661" w14:textId="77777777" w:rsidR="002A1FD6" w:rsidRPr="00585110" w:rsidRDefault="002A1FD6" w:rsidP="00A77222">
            <w:pPr>
              <w:pStyle w:val="NoSpacing"/>
              <w:rPr>
                <w:rFonts w:ascii="Tahoma" w:hAnsi="Tahoma" w:cs="Tahoma"/>
                <w:sz w:val="16"/>
                <w:szCs w:val="16"/>
                <w:lang w:eastAsia="zh-CN"/>
              </w:rPr>
            </w:pPr>
            <w:r w:rsidRPr="00585110">
              <w:rPr>
                <w:rFonts w:ascii="Tahoma" w:hAnsi="Tahoma" w:cs="Tahoma"/>
                <w:sz w:val="16"/>
                <w:szCs w:val="16"/>
                <w:lang w:eastAsia="zh-CN"/>
              </w:rPr>
              <w:t>Jayden Tan (</w:t>
            </w:r>
            <w:proofErr w:type="spellStart"/>
            <w:r w:rsidRPr="00585110">
              <w:rPr>
                <w:rFonts w:ascii="Tahoma" w:hAnsi="Tahoma" w:cs="Tahoma"/>
                <w:sz w:val="16"/>
                <w:szCs w:val="16"/>
                <w:lang w:eastAsia="zh-CN"/>
              </w:rPr>
              <w:t>ext</w:t>
            </w:r>
            <w:proofErr w:type="spellEnd"/>
            <w:r w:rsidRPr="00585110">
              <w:rPr>
                <w:rFonts w:ascii="Tahoma" w:hAnsi="Tahoma" w:cs="Tahoma"/>
                <w:sz w:val="16"/>
                <w:szCs w:val="16"/>
                <w:lang w:eastAsia="zh-CN"/>
              </w:rPr>
              <w:t xml:space="preserve"> 2069)</w:t>
            </w:r>
          </w:p>
          <w:p w14:paraId="08796883" w14:textId="77777777" w:rsidR="002A1FD6" w:rsidRPr="00585110" w:rsidRDefault="002A1FD6" w:rsidP="00A77222">
            <w:pPr>
              <w:pStyle w:val="NoSpacing"/>
              <w:rPr>
                <w:rFonts w:ascii="Tahoma" w:hAnsi="Tahoma" w:cs="Tahoma"/>
                <w:sz w:val="16"/>
                <w:szCs w:val="16"/>
              </w:rPr>
            </w:pPr>
            <w:r w:rsidRPr="00585110">
              <w:rPr>
                <w:rFonts w:ascii="Tahoma" w:hAnsi="Tahoma" w:cs="Tahoma"/>
                <w:sz w:val="16"/>
                <w:szCs w:val="16"/>
              </w:rPr>
              <w:t>Aiman Kamil (</w:t>
            </w:r>
            <w:proofErr w:type="spellStart"/>
            <w:r w:rsidRPr="00585110">
              <w:rPr>
                <w:rFonts w:ascii="Tahoma" w:hAnsi="Tahoma" w:cs="Tahoma"/>
                <w:sz w:val="16"/>
                <w:szCs w:val="16"/>
              </w:rPr>
              <w:t>ext</w:t>
            </w:r>
            <w:proofErr w:type="spellEnd"/>
            <w:r w:rsidRPr="00585110">
              <w:rPr>
                <w:rFonts w:ascii="Tahoma" w:hAnsi="Tahoma" w:cs="Tahoma"/>
                <w:sz w:val="16"/>
                <w:szCs w:val="16"/>
              </w:rPr>
              <w:t xml:space="preserve"> 2071)</w:t>
            </w:r>
          </w:p>
          <w:p w14:paraId="34AB0F94" w14:textId="77777777" w:rsidR="002A1FD6" w:rsidRDefault="002A1FD6" w:rsidP="00A77222"/>
        </w:tc>
      </w:tr>
      <w:tr w:rsidR="002A1FD6" w14:paraId="69C86919" w14:textId="77777777" w:rsidTr="00AF362C">
        <w:tc>
          <w:tcPr>
            <w:tcW w:w="3549" w:type="dxa"/>
            <w:tcBorders>
              <w:bottom w:val="single" w:sz="18" w:space="0" w:color="4472C4" w:themeColor="accent1"/>
            </w:tcBorders>
          </w:tcPr>
          <w:p w14:paraId="7FD077E6" w14:textId="77777777" w:rsidR="002A1FD6" w:rsidRPr="00585110" w:rsidRDefault="002A1FD6" w:rsidP="00A77222">
            <w:pPr>
              <w:pStyle w:val="NoSpacing"/>
              <w:rPr>
                <w:rFonts w:ascii="Tahoma" w:hAnsi="Tahoma" w:cs="Tahoma"/>
                <w:b/>
                <w:bCs/>
                <w:sz w:val="16"/>
                <w:szCs w:val="16"/>
              </w:rPr>
            </w:pPr>
            <w:r>
              <w:rPr>
                <w:rFonts w:ascii="Tahoma" w:hAnsi="Tahoma" w:cs="Tahoma"/>
                <w:b/>
                <w:bCs/>
                <w:sz w:val="16"/>
                <w:szCs w:val="16"/>
              </w:rPr>
              <w:t>Mutiara Damansara</w:t>
            </w:r>
            <w:r w:rsidRPr="00585110">
              <w:rPr>
                <w:rFonts w:ascii="Tahoma" w:hAnsi="Tahoma" w:cs="Tahoma"/>
                <w:b/>
                <w:bCs/>
                <w:sz w:val="16"/>
                <w:szCs w:val="16"/>
              </w:rPr>
              <w:t xml:space="preserve"> Office:</w:t>
            </w:r>
          </w:p>
          <w:p w14:paraId="7B94B06E"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5th Floor Menara UAC, 12, Jalan PJU 7/5,</w:t>
            </w:r>
          </w:p>
          <w:p w14:paraId="12417229"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Mutiara Damansara,</w:t>
            </w:r>
          </w:p>
          <w:p w14:paraId="73C54EA8"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 xml:space="preserve">47800 </w:t>
            </w:r>
            <w:proofErr w:type="spellStart"/>
            <w:r w:rsidRPr="00264276">
              <w:rPr>
                <w:rFonts w:ascii="Tahoma" w:hAnsi="Tahoma" w:cs="Tahoma"/>
                <w:sz w:val="16"/>
                <w:szCs w:val="16"/>
              </w:rPr>
              <w:t>Petaling</w:t>
            </w:r>
            <w:proofErr w:type="spellEnd"/>
            <w:r w:rsidRPr="00264276">
              <w:rPr>
                <w:rFonts w:ascii="Tahoma" w:hAnsi="Tahoma" w:cs="Tahoma"/>
                <w:sz w:val="16"/>
                <w:szCs w:val="16"/>
              </w:rPr>
              <w:t xml:space="preserve"> Jaya,</w:t>
            </w:r>
          </w:p>
          <w:p w14:paraId="736772F9" w14:textId="77777777" w:rsidR="002A1FD6" w:rsidRPr="00264276" w:rsidRDefault="002A1FD6" w:rsidP="00A77222">
            <w:pPr>
              <w:pStyle w:val="NoSpacing"/>
              <w:rPr>
                <w:rFonts w:ascii="Tahoma" w:hAnsi="Tahoma" w:cs="Tahoma"/>
                <w:sz w:val="16"/>
                <w:szCs w:val="16"/>
              </w:rPr>
            </w:pPr>
            <w:r w:rsidRPr="00264276">
              <w:rPr>
                <w:rFonts w:ascii="Tahoma" w:hAnsi="Tahoma" w:cs="Tahoma"/>
                <w:sz w:val="16"/>
                <w:szCs w:val="16"/>
              </w:rPr>
              <w:t>Selangor Darul Ehsan, Malaysia</w:t>
            </w:r>
          </w:p>
          <w:p w14:paraId="62B2A2AE" w14:textId="77777777" w:rsidR="002A1FD6" w:rsidRPr="00264276" w:rsidRDefault="002A1FD6" w:rsidP="00A77222">
            <w:pPr>
              <w:pStyle w:val="NoSpacing"/>
              <w:rPr>
                <w:rFonts w:ascii="Tahoma" w:hAnsi="Tahoma" w:cs="Tahoma"/>
                <w:sz w:val="16"/>
                <w:szCs w:val="16"/>
              </w:rPr>
            </w:pPr>
          </w:p>
          <w:p w14:paraId="0597320B" w14:textId="77777777" w:rsidR="00AF362C" w:rsidRDefault="002A1FD6" w:rsidP="00A77222">
            <w:pPr>
              <w:rPr>
                <w:rFonts w:ascii="Tahoma" w:hAnsi="Tahoma" w:cs="Tahoma"/>
                <w:sz w:val="16"/>
                <w:szCs w:val="16"/>
              </w:rPr>
            </w:pPr>
            <w:r w:rsidRPr="00264276">
              <w:rPr>
                <w:rFonts w:ascii="Tahoma" w:hAnsi="Tahoma" w:cs="Tahoma"/>
                <w:sz w:val="16"/>
                <w:szCs w:val="16"/>
              </w:rPr>
              <w:t>General Line: (603) 7890 8899</w:t>
            </w:r>
          </w:p>
          <w:p w14:paraId="7A17E086" w14:textId="26B155DD" w:rsidR="00AF362C" w:rsidRPr="00AF362C" w:rsidRDefault="00AF362C" w:rsidP="00A77222">
            <w:pPr>
              <w:rPr>
                <w:rFonts w:ascii="Tahoma" w:hAnsi="Tahoma" w:cs="Tahoma"/>
                <w:sz w:val="16"/>
                <w:szCs w:val="16"/>
              </w:rPr>
            </w:pPr>
          </w:p>
        </w:tc>
        <w:tc>
          <w:tcPr>
            <w:tcW w:w="2693" w:type="dxa"/>
            <w:tcBorders>
              <w:bottom w:val="single" w:sz="18" w:space="0" w:color="4472C4" w:themeColor="accent1"/>
            </w:tcBorders>
          </w:tcPr>
          <w:p w14:paraId="010D636E" w14:textId="77777777" w:rsidR="002A1FD6" w:rsidRPr="00585110" w:rsidRDefault="002A1FD6" w:rsidP="00A77222">
            <w:pPr>
              <w:pStyle w:val="NoSpacing"/>
              <w:rPr>
                <w:rFonts w:ascii="Tahoma" w:hAnsi="Tahoma" w:cs="Tahoma"/>
                <w:sz w:val="16"/>
                <w:szCs w:val="16"/>
              </w:rPr>
            </w:pPr>
            <w:r w:rsidRPr="00585110">
              <w:rPr>
                <w:rFonts w:ascii="Tahoma" w:hAnsi="Tahoma" w:cs="Tahoma"/>
                <w:b/>
                <w:bCs/>
                <w:sz w:val="16"/>
                <w:szCs w:val="16"/>
              </w:rPr>
              <w:t>Institutional Dealing Team:</w:t>
            </w:r>
            <w:r w:rsidRPr="00585110">
              <w:rPr>
                <w:rFonts w:ascii="Tahoma" w:hAnsi="Tahoma" w:cs="Tahoma"/>
                <w:sz w:val="16"/>
                <w:szCs w:val="16"/>
              </w:rPr>
              <w:br/>
            </w:r>
            <w:r w:rsidRPr="005074F1">
              <w:rPr>
                <w:rFonts w:ascii="Tahoma" w:hAnsi="Tahoma" w:cs="Tahoma"/>
                <w:sz w:val="16"/>
                <w:szCs w:val="16"/>
              </w:rPr>
              <w:t xml:space="preserve">Siti Nur </w:t>
            </w:r>
            <w:proofErr w:type="spellStart"/>
            <w:r w:rsidRPr="005074F1">
              <w:rPr>
                <w:rFonts w:ascii="Tahoma" w:hAnsi="Tahoma" w:cs="Tahoma"/>
                <w:sz w:val="16"/>
                <w:szCs w:val="16"/>
              </w:rPr>
              <w:t>Nadhirah</w:t>
            </w:r>
            <w:proofErr w:type="spellEnd"/>
            <w:r w:rsidRPr="005074F1">
              <w:rPr>
                <w:rFonts w:ascii="Tahoma" w:hAnsi="Tahoma" w:cs="Tahoma"/>
                <w:sz w:val="16"/>
                <w:szCs w:val="16"/>
              </w:rPr>
              <w:t xml:space="preserve"> (</w:t>
            </w:r>
            <w:proofErr w:type="spellStart"/>
            <w:r w:rsidRPr="005074F1">
              <w:rPr>
                <w:rFonts w:ascii="Tahoma" w:hAnsi="Tahoma" w:cs="Tahoma"/>
                <w:sz w:val="16"/>
                <w:szCs w:val="16"/>
              </w:rPr>
              <w:t>ext</w:t>
            </w:r>
            <w:proofErr w:type="spellEnd"/>
            <w:r w:rsidRPr="005074F1">
              <w:rPr>
                <w:rFonts w:ascii="Tahoma" w:hAnsi="Tahoma" w:cs="Tahoma"/>
                <w:sz w:val="16"/>
                <w:szCs w:val="16"/>
              </w:rPr>
              <w:t xml:space="preserve"> 2032)</w:t>
            </w:r>
          </w:p>
          <w:p w14:paraId="79AC120E" w14:textId="77777777" w:rsidR="002A1FD6" w:rsidRDefault="002A1FD6" w:rsidP="00A77222">
            <w:pPr>
              <w:pStyle w:val="NoSpacing"/>
              <w:rPr>
                <w:rFonts w:ascii="Tahoma" w:hAnsi="Tahoma" w:cs="Tahoma"/>
                <w:sz w:val="16"/>
                <w:szCs w:val="16"/>
              </w:rPr>
            </w:pPr>
          </w:p>
          <w:p w14:paraId="593D8B89" w14:textId="77777777" w:rsidR="002A1FD6" w:rsidRPr="00585110" w:rsidRDefault="002A1FD6" w:rsidP="00A77222">
            <w:pPr>
              <w:pStyle w:val="NoSpacing"/>
              <w:rPr>
                <w:rFonts w:ascii="Tahoma" w:hAnsi="Tahoma" w:cs="Tahoma"/>
                <w:sz w:val="16"/>
                <w:szCs w:val="16"/>
              </w:rPr>
            </w:pPr>
          </w:p>
          <w:p w14:paraId="291EF417" w14:textId="77777777" w:rsidR="002A1FD6" w:rsidRPr="00585110" w:rsidRDefault="002A1FD6" w:rsidP="00A77222">
            <w:pPr>
              <w:pStyle w:val="NoSpacing"/>
              <w:rPr>
                <w:rFonts w:ascii="Tahoma" w:hAnsi="Tahoma" w:cs="Tahoma"/>
                <w:b/>
                <w:bCs/>
                <w:sz w:val="16"/>
                <w:szCs w:val="16"/>
              </w:rPr>
            </w:pPr>
            <w:r w:rsidRPr="00585110">
              <w:rPr>
                <w:rFonts w:ascii="Tahoma" w:hAnsi="Tahoma" w:cs="Tahoma"/>
                <w:b/>
                <w:bCs/>
                <w:sz w:val="16"/>
                <w:szCs w:val="16"/>
              </w:rPr>
              <w:t>PJ Office:</w:t>
            </w:r>
          </w:p>
          <w:p w14:paraId="2386F0B9" w14:textId="77777777" w:rsidR="002A1FD6" w:rsidRPr="00264276" w:rsidRDefault="002A1FD6" w:rsidP="00A77222">
            <w:pPr>
              <w:pStyle w:val="NoSpacing"/>
              <w:rPr>
                <w:rFonts w:ascii="Tahoma" w:hAnsi="Tahoma" w:cs="Tahoma"/>
                <w:color w:val="000000"/>
                <w:sz w:val="16"/>
                <w:szCs w:val="16"/>
              </w:rPr>
            </w:pPr>
            <w:r w:rsidRPr="00264276">
              <w:rPr>
                <w:rFonts w:ascii="Tahoma" w:hAnsi="Tahoma" w:cs="Tahoma"/>
                <w:color w:val="000000"/>
                <w:sz w:val="16"/>
                <w:szCs w:val="16"/>
              </w:rPr>
              <w:t xml:space="preserve">General Line: (603) 7620 1118 </w:t>
            </w:r>
          </w:p>
          <w:p w14:paraId="0D56F35F" w14:textId="55F1575C" w:rsidR="002A1FD6" w:rsidRPr="00AF362C" w:rsidRDefault="002A1FD6" w:rsidP="00A77222">
            <w:pPr>
              <w:rPr>
                <w:rFonts w:ascii="Tahoma" w:hAnsi="Tahoma" w:cs="Tahoma"/>
                <w:color w:val="000000"/>
                <w:sz w:val="16"/>
                <w:szCs w:val="16"/>
              </w:rPr>
            </w:pPr>
            <w:r w:rsidRPr="00264276">
              <w:rPr>
                <w:rFonts w:ascii="Tahoma" w:hAnsi="Tahoma" w:cs="Tahoma"/>
                <w:color w:val="000000"/>
                <w:sz w:val="16"/>
                <w:szCs w:val="16"/>
              </w:rPr>
              <w:t xml:space="preserve">Azfar Bin Abdul Aziz (Ext 822) </w:t>
            </w:r>
          </w:p>
        </w:tc>
        <w:tc>
          <w:tcPr>
            <w:tcW w:w="2562" w:type="dxa"/>
          </w:tcPr>
          <w:p w14:paraId="5BC32DFF" w14:textId="77777777" w:rsidR="002A1FD6" w:rsidRDefault="002A1FD6" w:rsidP="00A77222"/>
        </w:tc>
      </w:tr>
      <w:tr w:rsidR="002A1FD6" w14:paraId="46B45E36" w14:textId="77777777" w:rsidTr="00AF362C">
        <w:tc>
          <w:tcPr>
            <w:tcW w:w="8804" w:type="dxa"/>
            <w:gridSpan w:val="3"/>
            <w:tcBorders>
              <w:top w:val="single" w:sz="18" w:space="0" w:color="4472C4" w:themeColor="accent1"/>
              <w:bottom w:val="single" w:sz="18" w:space="0" w:color="4472C4" w:themeColor="accent1"/>
            </w:tcBorders>
          </w:tcPr>
          <w:p w14:paraId="4874DFA3" w14:textId="3492D9BD" w:rsidR="002A1FD6" w:rsidRPr="00560EAF" w:rsidRDefault="00AF362C" w:rsidP="00A77222">
            <w:pPr>
              <w:jc w:val="center"/>
              <w:rPr>
                <w:b/>
                <w:bCs/>
              </w:rPr>
            </w:pPr>
            <w:r>
              <w:rPr>
                <w:b/>
                <w:bCs/>
              </w:rPr>
              <w:t>RESEARCH RECOMMENDATION FRAMEWORK</w:t>
            </w:r>
          </w:p>
        </w:tc>
      </w:tr>
      <w:tr w:rsidR="002A1FD6" w14:paraId="05AD8D3E" w14:textId="77777777" w:rsidTr="00AF362C">
        <w:tc>
          <w:tcPr>
            <w:tcW w:w="8804" w:type="dxa"/>
            <w:gridSpan w:val="3"/>
            <w:tcBorders>
              <w:top w:val="single" w:sz="18" w:space="0" w:color="4472C4" w:themeColor="accent1"/>
              <w:bottom w:val="single" w:sz="18" w:space="0" w:color="4472C4" w:themeColor="accent1"/>
            </w:tcBorders>
          </w:tcPr>
          <w:p w14:paraId="465FC91C" w14:textId="77777777" w:rsidR="00AF362C" w:rsidRPr="00AF362C" w:rsidRDefault="00AF362C" w:rsidP="00AF362C">
            <w:pPr>
              <w:pStyle w:val="NoSpacing"/>
              <w:jc w:val="both"/>
              <w:rPr>
                <w:rFonts w:ascii="Tahoma" w:hAnsi="Tahoma" w:cs="Tahoma"/>
                <w:b/>
                <w:bCs/>
                <w:sz w:val="16"/>
                <w:szCs w:val="16"/>
              </w:rPr>
            </w:pPr>
            <w:r w:rsidRPr="00AF362C">
              <w:rPr>
                <w:rFonts w:ascii="Tahoma" w:hAnsi="Tahoma" w:cs="Tahoma"/>
                <w:b/>
                <w:bCs/>
                <w:sz w:val="16"/>
                <w:szCs w:val="16"/>
              </w:rPr>
              <w:t>STOCK RECOMMENDATIONS</w:t>
            </w:r>
          </w:p>
          <w:p w14:paraId="63B3150E" w14:textId="0EA3612D"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BUY</w:t>
            </w:r>
            <w:r w:rsidRPr="00AF362C">
              <w:rPr>
                <w:rFonts w:ascii="Tahoma" w:hAnsi="Tahoma" w:cs="Tahoma"/>
                <w:sz w:val="16"/>
                <w:szCs w:val="16"/>
              </w:rPr>
              <w:t>:</w:t>
            </w:r>
            <w:r>
              <w:rPr>
                <w:rFonts w:ascii="Tahoma" w:hAnsi="Tahoma" w:cs="Tahoma"/>
                <w:sz w:val="16"/>
                <w:szCs w:val="16"/>
              </w:rPr>
              <w:t xml:space="preserve"> </w:t>
            </w:r>
            <w:r w:rsidRPr="00AF362C">
              <w:rPr>
                <w:rFonts w:ascii="Tahoma" w:hAnsi="Tahoma" w:cs="Tahoma"/>
                <w:sz w:val="16"/>
                <w:szCs w:val="16"/>
              </w:rPr>
              <w:t>Total returns* are expected to exceed 10% within the next 12 months.</w:t>
            </w:r>
          </w:p>
          <w:p w14:paraId="683BAAC7" w14:textId="2BD5BAD2"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HOLD</w:t>
            </w:r>
            <w:r w:rsidRPr="00AF362C">
              <w:rPr>
                <w:rFonts w:ascii="Tahoma" w:hAnsi="Tahoma" w:cs="Tahoma"/>
                <w:sz w:val="16"/>
                <w:szCs w:val="16"/>
              </w:rPr>
              <w:t>:</w:t>
            </w:r>
            <w:r>
              <w:rPr>
                <w:rFonts w:ascii="Tahoma" w:hAnsi="Tahoma" w:cs="Tahoma"/>
                <w:sz w:val="16"/>
                <w:szCs w:val="16"/>
              </w:rPr>
              <w:t xml:space="preserve"> T</w:t>
            </w:r>
            <w:r w:rsidRPr="00AF362C">
              <w:rPr>
                <w:rFonts w:ascii="Tahoma" w:hAnsi="Tahoma" w:cs="Tahoma"/>
                <w:sz w:val="16"/>
                <w:szCs w:val="16"/>
              </w:rPr>
              <w:t>otal returns* are expected to be within +10% to – 10% within the next 12 months.</w:t>
            </w:r>
          </w:p>
          <w:p w14:paraId="54137553" w14:textId="32681FE5"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SELL</w:t>
            </w:r>
            <w:r w:rsidRPr="00AF362C">
              <w:rPr>
                <w:rFonts w:ascii="Tahoma" w:hAnsi="Tahoma" w:cs="Tahoma"/>
                <w:sz w:val="16"/>
                <w:szCs w:val="16"/>
              </w:rPr>
              <w:t>:</w:t>
            </w:r>
            <w:r>
              <w:rPr>
                <w:rFonts w:ascii="Tahoma" w:hAnsi="Tahoma" w:cs="Tahoma"/>
                <w:sz w:val="16"/>
                <w:szCs w:val="16"/>
              </w:rPr>
              <w:t xml:space="preserve"> T</w:t>
            </w:r>
            <w:r w:rsidRPr="00AF362C">
              <w:rPr>
                <w:rFonts w:ascii="Tahoma" w:hAnsi="Tahoma" w:cs="Tahoma"/>
                <w:sz w:val="16"/>
                <w:szCs w:val="16"/>
              </w:rPr>
              <w:t>otal returns* are expected to be below -10% within the next 12 months.</w:t>
            </w:r>
          </w:p>
          <w:p w14:paraId="0988D39D" w14:textId="270C5E2F"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TRADING BUY</w:t>
            </w:r>
            <w:r w:rsidRPr="00AF362C">
              <w:rPr>
                <w:rFonts w:ascii="Tahoma" w:hAnsi="Tahoma" w:cs="Tahoma"/>
                <w:sz w:val="16"/>
                <w:szCs w:val="16"/>
              </w:rPr>
              <w:t>:</w:t>
            </w:r>
            <w:r>
              <w:rPr>
                <w:rFonts w:ascii="Tahoma" w:hAnsi="Tahoma" w:cs="Tahoma"/>
                <w:sz w:val="16"/>
                <w:szCs w:val="16"/>
              </w:rPr>
              <w:t xml:space="preserve"> T</w:t>
            </w:r>
            <w:r w:rsidRPr="00AF362C">
              <w:rPr>
                <w:rFonts w:ascii="Tahoma" w:hAnsi="Tahoma" w:cs="Tahoma"/>
                <w:sz w:val="16"/>
                <w:szCs w:val="16"/>
              </w:rPr>
              <w:t>otal returns* are expected to exceed 10% within the next 3 months.</w:t>
            </w:r>
          </w:p>
          <w:p w14:paraId="612AD512" w14:textId="2BEE2355"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TRADING SELL</w:t>
            </w:r>
            <w:r w:rsidRPr="00AF362C">
              <w:rPr>
                <w:rFonts w:ascii="Tahoma" w:hAnsi="Tahoma" w:cs="Tahoma"/>
                <w:sz w:val="16"/>
                <w:szCs w:val="16"/>
              </w:rPr>
              <w:t>:</w:t>
            </w:r>
            <w:r>
              <w:rPr>
                <w:rFonts w:ascii="Tahoma" w:hAnsi="Tahoma" w:cs="Tahoma"/>
                <w:sz w:val="16"/>
                <w:szCs w:val="16"/>
              </w:rPr>
              <w:t xml:space="preserve"> T</w:t>
            </w:r>
            <w:r w:rsidRPr="00AF362C">
              <w:rPr>
                <w:rFonts w:ascii="Tahoma" w:hAnsi="Tahoma" w:cs="Tahoma"/>
                <w:sz w:val="16"/>
                <w:szCs w:val="16"/>
              </w:rPr>
              <w:t>otal returns* are expected to be below -10% within the next 3 months.</w:t>
            </w:r>
          </w:p>
          <w:p w14:paraId="433D05BB" w14:textId="48B03BAC" w:rsidR="00AF362C" w:rsidRPr="00AF362C" w:rsidRDefault="00AF362C" w:rsidP="00AF362C">
            <w:pPr>
              <w:pStyle w:val="NoSpacing"/>
              <w:jc w:val="both"/>
              <w:rPr>
                <w:rFonts w:ascii="Tahoma" w:hAnsi="Tahoma" w:cs="Tahoma"/>
                <w:sz w:val="16"/>
                <w:szCs w:val="16"/>
              </w:rPr>
            </w:pPr>
            <w:r w:rsidRPr="00AF362C">
              <w:rPr>
                <w:rFonts w:ascii="Tahoma" w:hAnsi="Tahoma" w:cs="Tahoma"/>
                <w:sz w:val="16"/>
                <w:szCs w:val="16"/>
              </w:rPr>
              <w:t>*</w:t>
            </w:r>
            <w:r>
              <w:rPr>
                <w:rFonts w:ascii="Tahoma" w:hAnsi="Tahoma" w:cs="Tahoma"/>
                <w:sz w:val="16"/>
                <w:szCs w:val="16"/>
              </w:rPr>
              <w:t>C</w:t>
            </w:r>
            <w:r w:rsidRPr="00AF362C">
              <w:rPr>
                <w:rFonts w:ascii="Tahoma" w:hAnsi="Tahoma" w:cs="Tahoma"/>
                <w:sz w:val="16"/>
                <w:szCs w:val="16"/>
              </w:rPr>
              <w:t>apital gain + dividend yield</w:t>
            </w:r>
          </w:p>
          <w:p w14:paraId="1711A9E2" w14:textId="77777777" w:rsidR="00AF362C" w:rsidRPr="00AF362C" w:rsidRDefault="00AF362C" w:rsidP="00AF362C">
            <w:pPr>
              <w:pStyle w:val="NoSpacing"/>
              <w:jc w:val="both"/>
              <w:rPr>
                <w:rFonts w:ascii="Tahoma" w:hAnsi="Tahoma" w:cs="Tahoma"/>
                <w:sz w:val="16"/>
                <w:szCs w:val="16"/>
              </w:rPr>
            </w:pPr>
          </w:p>
          <w:p w14:paraId="1BAEF981" w14:textId="77777777" w:rsidR="00AF362C" w:rsidRPr="00AF362C" w:rsidRDefault="00AF362C" w:rsidP="00AF362C">
            <w:pPr>
              <w:pStyle w:val="NoSpacing"/>
              <w:jc w:val="both"/>
              <w:rPr>
                <w:rFonts w:ascii="Tahoma" w:hAnsi="Tahoma" w:cs="Tahoma"/>
                <w:b/>
                <w:bCs/>
                <w:sz w:val="16"/>
                <w:szCs w:val="16"/>
              </w:rPr>
            </w:pPr>
            <w:r w:rsidRPr="00AF362C">
              <w:rPr>
                <w:rFonts w:ascii="Tahoma" w:hAnsi="Tahoma" w:cs="Tahoma"/>
                <w:b/>
                <w:bCs/>
                <w:sz w:val="16"/>
                <w:szCs w:val="16"/>
              </w:rPr>
              <w:t>SECTOR RECOMMENDATIONS</w:t>
            </w:r>
          </w:p>
          <w:p w14:paraId="22A67865" w14:textId="14677AC8"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OVERWEIGHT</w:t>
            </w:r>
            <w:r w:rsidRPr="00AF362C">
              <w:rPr>
                <w:rFonts w:ascii="Tahoma" w:hAnsi="Tahoma" w:cs="Tahoma"/>
                <w:sz w:val="16"/>
                <w:szCs w:val="16"/>
              </w:rPr>
              <w:t>:</w:t>
            </w:r>
            <w:r>
              <w:rPr>
                <w:rFonts w:ascii="Tahoma" w:hAnsi="Tahoma" w:cs="Tahoma"/>
                <w:sz w:val="16"/>
                <w:szCs w:val="16"/>
              </w:rPr>
              <w:t xml:space="preserve"> </w:t>
            </w:r>
            <w:r w:rsidRPr="00AF362C">
              <w:rPr>
                <w:rFonts w:ascii="Tahoma" w:hAnsi="Tahoma" w:cs="Tahoma"/>
                <w:sz w:val="16"/>
                <w:szCs w:val="16"/>
              </w:rPr>
              <w:t>The industry defined by the analyst is expected to exceed 10% within the next 12 months.</w:t>
            </w:r>
          </w:p>
          <w:p w14:paraId="67658CD0" w14:textId="60DE19A1" w:rsidR="00AF362C" w:rsidRPr="00AF362C" w:rsidRDefault="00AF362C" w:rsidP="00AF362C">
            <w:pPr>
              <w:pStyle w:val="NoSpacing"/>
              <w:jc w:val="both"/>
              <w:rPr>
                <w:rFonts w:ascii="Tahoma" w:hAnsi="Tahoma" w:cs="Tahoma"/>
                <w:sz w:val="16"/>
                <w:szCs w:val="16"/>
              </w:rPr>
            </w:pPr>
            <w:r w:rsidRPr="00AF362C">
              <w:rPr>
                <w:rFonts w:ascii="Tahoma" w:hAnsi="Tahoma" w:cs="Tahoma"/>
                <w:b/>
                <w:bCs/>
                <w:sz w:val="16"/>
                <w:szCs w:val="16"/>
              </w:rPr>
              <w:t>NEUTRAL</w:t>
            </w:r>
            <w:r w:rsidRPr="00AF362C">
              <w:rPr>
                <w:rFonts w:ascii="Tahoma" w:hAnsi="Tahoma" w:cs="Tahoma"/>
                <w:sz w:val="16"/>
                <w:szCs w:val="16"/>
              </w:rPr>
              <w:t>:</w:t>
            </w:r>
            <w:r>
              <w:rPr>
                <w:rFonts w:ascii="Tahoma" w:hAnsi="Tahoma" w:cs="Tahoma"/>
                <w:sz w:val="16"/>
                <w:szCs w:val="16"/>
              </w:rPr>
              <w:t xml:space="preserve"> </w:t>
            </w:r>
            <w:r w:rsidRPr="00AF362C">
              <w:rPr>
                <w:rFonts w:ascii="Tahoma" w:hAnsi="Tahoma" w:cs="Tahoma"/>
                <w:sz w:val="16"/>
                <w:szCs w:val="16"/>
              </w:rPr>
              <w:t>The industry defined by the analyst is expected to be within +10% to – 10% within the next 12 months.</w:t>
            </w:r>
          </w:p>
          <w:p w14:paraId="50C0E638" w14:textId="438A2090" w:rsidR="002A1FD6" w:rsidRDefault="00AF362C" w:rsidP="00AF362C">
            <w:pPr>
              <w:pStyle w:val="NoSpacing"/>
              <w:jc w:val="both"/>
              <w:rPr>
                <w:rFonts w:ascii="Tahoma" w:hAnsi="Tahoma" w:cs="Tahoma"/>
                <w:sz w:val="16"/>
                <w:szCs w:val="16"/>
              </w:rPr>
            </w:pPr>
            <w:r w:rsidRPr="00AF362C">
              <w:rPr>
                <w:rFonts w:ascii="Tahoma" w:hAnsi="Tahoma" w:cs="Tahoma"/>
                <w:b/>
                <w:bCs/>
                <w:sz w:val="16"/>
                <w:szCs w:val="16"/>
              </w:rPr>
              <w:t>UNDERWEIGHT</w:t>
            </w:r>
            <w:r w:rsidRPr="00AF362C">
              <w:rPr>
                <w:rFonts w:ascii="Tahoma" w:hAnsi="Tahoma" w:cs="Tahoma"/>
                <w:sz w:val="16"/>
                <w:szCs w:val="16"/>
              </w:rPr>
              <w:t>:</w:t>
            </w:r>
            <w:r>
              <w:rPr>
                <w:rFonts w:ascii="Tahoma" w:hAnsi="Tahoma" w:cs="Tahoma"/>
                <w:sz w:val="16"/>
                <w:szCs w:val="16"/>
              </w:rPr>
              <w:t xml:space="preserve"> </w:t>
            </w:r>
            <w:r w:rsidRPr="00AF362C">
              <w:rPr>
                <w:rFonts w:ascii="Tahoma" w:hAnsi="Tahoma" w:cs="Tahoma"/>
                <w:sz w:val="16"/>
                <w:szCs w:val="16"/>
              </w:rPr>
              <w:t>The industry defined by the analyst, is expected to be below -10% within the next 12 months.</w:t>
            </w:r>
          </w:p>
          <w:p w14:paraId="2F9F19CD" w14:textId="39C5CB3E" w:rsidR="00AF362C" w:rsidRPr="00AF362C" w:rsidRDefault="00AF362C" w:rsidP="00AF362C">
            <w:pPr>
              <w:pStyle w:val="NoSpacing"/>
              <w:jc w:val="both"/>
              <w:rPr>
                <w:rFonts w:ascii="Tahoma" w:hAnsi="Tahoma" w:cs="Tahoma"/>
                <w:sz w:val="8"/>
                <w:szCs w:val="8"/>
              </w:rPr>
            </w:pPr>
          </w:p>
        </w:tc>
      </w:tr>
      <w:tr w:rsidR="00AF362C" w:rsidRPr="00560EAF" w14:paraId="1B11EF65" w14:textId="77777777" w:rsidTr="00484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3"/>
            <w:tcBorders>
              <w:top w:val="single" w:sz="18" w:space="0" w:color="4472C4" w:themeColor="accent1"/>
              <w:left w:val="nil"/>
              <w:bottom w:val="single" w:sz="18" w:space="0" w:color="4472C4" w:themeColor="accent1"/>
              <w:right w:val="nil"/>
            </w:tcBorders>
          </w:tcPr>
          <w:p w14:paraId="16E645D6" w14:textId="77777777" w:rsidR="00AF362C" w:rsidRPr="00560EAF" w:rsidRDefault="00AF362C" w:rsidP="00C71254">
            <w:pPr>
              <w:jc w:val="center"/>
              <w:rPr>
                <w:b/>
                <w:bCs/>
              </w:rPr>
            </w:pPr>
            <w:r w:rsidRPr="00560EAF">
              <w:rPr>
                <w:b/>
                <w:bCs/>
              </w:rPr>
              <w:t>DISCLAIMER</w:t>
            </w:r>
          </w:p>
        </w:tc>
      </w:tr>
      <w:tr w:rsidR="00AF362C" w14:paraId="44F2A79D" w14:textId="77777777" w:rsidTr="00484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3"/>
            <w:tcBorders>
              <w:top w:val="single" w:sz="18" w:space="0" w:color="4472C4" w:themeColor="accent1"/>
              <w:left w:val="nil"/>
              <w:bottom w:val="single" w:sz="18" w:space="0" w:color="4472C4" w:themeColor="accent1"/>
              <w:right w:val="nil"/>
            </w:tcBorders>
          </w:tcPr>
          <w:p w14:paraId="1A19C891" w14:textId="77777777" w:rsidR="00AF362C" w:rsidRPr="00A37A0B" w:rsidRDefault="00AF362C" w:rsidP="00C71254">
            <w:pPr>
              <w:pStyle w:val="NoSpacing"/>
              <w:jc w:val="both"/>
              <w:rPr>
                <w:rFonts w:ascii="Tahoma" w:hAnsi="Tahoma" w:cs="Tahoma"/>
                <w:sz w:val="16"/>
                <w:szCs w:val="16"/>
              </w:rPr>
            </w:pPr>
            <w:r w:rsidRPr="00A37A0B">
              <w:rPr>
                <w:rFonts w:ascii="Tahoma" w:hAnsi="Tahoma" w:cs="Tahoma"/>
                <w:sz w:val="16"/>
                <w:szCs w:val="16"/>
              </w:rPr>
              <w:t xml:space="preserve">Disclaimer: The report is for internal and private circulation only and shall not be reproduced either in part or otherwise without the prior written consent of 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 The opinions and information contained herein are based on available data believed to be reliable. It is not to be construed as an offer, invitation or solicitation to buy or sell the securities covered by this report.</w:t>
            </w:r>
          </w:p>
          <w:p w14:paraId="6A30121A" w14:textId="77777777" w:rsidR="00AF362C" w:rsidRPr="00A37A0B" w:rsidRDefault="00AF362C" w:rsidP="00C71254">
            <w:pPr>
              <w:pStyle w:val="NoSpacing"/>
              <w:jc w:val="both"/>
              <w:rPr>
                <w:rFonts w:ascii="Tahoma" w:hAnsi="Tahoma" w:cs="Tahoma"/>
                <w:sz w:val="16"/>
                <w:szCs w:val="16"/>
              </w:rPr>
            </w:pPr>
          </w:p>
          <w:p w14:paraId="51336ED3" w14:textId="77777777" w:rsidR="00AF362C" w:rsidRPr="00A37A0B" w:rsidRDefault="00AF362C" w:rsidP="00C71254">
            <w:pPr>
              <w:pStyle w:val="NoSpacing"/>
              <w:jc w:val="both"/>
              <w:rPr>
                <w:rFonts w:ascii="Tahoma" w:hAnsi="Tahoma" w:cs="Tahoma"/>
                <w:sz w:val="16"/>
                <w:szCs w:val="16"/>
              </w:rPr>
            </w:pPr>
            <w:r w:rsidRPr="00A37A0B">
              <w:rPr>
                <w:rFonts w:ascii="Tahoma" w:hAnsi="Tahoma" w:cs="Tahoma"/>
                <w:sz w:val="16"/>
                <w:szCs w:val="16"/>
              </w:rPr>
              <w:t xml:space="preserve">Opinions, estimates and projections in this report constitute the current judgment of the author. They do not necessarily reflect the opinion of 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 xml:space="preserve"> and are subject to change without notice. 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 xml:space="preserve"> has no obligation to update, modify or amend this report or to otherwise notify a reader thereof in the event that any matter stated herein, or any opinion, projection, forecast or estimate set forth herein, changes or subsequently becomes inaccurate.</w:t>
            </w:r>
          </w:p>
          <w:p w14:paraId="3D2F6666" w14:textId="77777777" w:rsidR="00AF362C" w:rsidRPr="00A37A0B" w:rsidRDefault="00AF362C" w:rsidP="00C71254">
            <w:pPr>
              <w:pStyle w:val="NoSpacing"/>
              <w:jc w:val="both"/>
              <w:rPr>
                <w:rFonts w:ascii="Tahoma" w:hAnsi="Tahoma" w:cs="Tahoma"/>
                <w:sz w:val="16"/>
                <w:szCs w:val="16"/>
              </w:rPr>
            </w:pPr>
          </w:p>
          <w:p w14:paraId="46BF6E5D" w14:textId="77777777" w:rsidR="00AF362C" w:rsidRDefault="00AF362C" w:rsidP="00C71254">
            <w:pPr>
              <w:jc w:val="both"/>
              <w:rPr>
                <w:rFonts w:ascii="Tahoma" w:hAnsi="Tahoma" w:cs="Tahoma"/>
                <w:sz w:val="16"/>
                <w:szCs w:val="16"/>
              </w:rPr>
            </w:pPr>
            <w:r w:rsidRPr="00A37A0B">
              <w:rPr>
                <w:rFonts w:ascii="Tahoma" w:hAnsi="Tahoma" w:cs="Tahoma"/>
                <w:sz w:val="16"/>
                <w:szCs w:val="16"/>
              </w:rPr>
              <w:t xml:space="preserve">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 xml:space="preserve"> does not warrant the accuracy of anything stated herein in any manner whatsoever and no reliance upon such statement by anyone shall give rise to any claim whatsoever against 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 xml:space="preserve">. 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 xml:space="preserve"> may from time to time have an interest in the company mentioned by this report. This report may not be reproduced, copied or circulated without the prior written approval of Apex Securities </w:t>
            </w:r>
            <w:proofErr w:type="spellStart"/>
            <w:r w:rsidRPr="00A37A0B">
              <w:rPr>
                <w:rFonts w:ascii="Tahoma" w:hAnsi="Tahoma" w:cs="Tahoma"/>
                <w:sz w:val="16"/>
                <w:szCs w:val="16"/>
              </w:rPr>
              <w:t>Berhad</w:t>
            </w:r>
            <w:proofErr w:type="spellEnd"/>
            <w:r w:rsidRPr="00A37A0B">
              <w:rPr>
                <w:rFonts w:ascii="Tahoma" w:hAnsi="Tahoma" w:cs="Tahoma"/>
                <w:sz w:val="16"/>
                <w:szCs w:val="16"/>
              </w:rPr>
              <w:t>.</w:t>
            </w:r>
          </w:p>
          <w:p w14:paraId="5E783769" w14:textId="77777777" w:rsidR="004847CE" w:rsidRPr="004847CE" w:rsidRDefault="004847CE" w:rsidP="00C71254">
            <w:pPr>
              <w:jc w:val="both"/>
              <w:rPr>
                <w:sz w:val="8"/>
                <w:szCs w:val="8"/>
              </w:rPr>
            </w:pPr>
          </w:p>
        </w:tc>
      </w:tr>
    </w:tbl>
    <w:p w14:paraId="6E1026BD" w14:textId="77777777" w:rsidR="002A1FD6" w:rsidRPr="00DE1A86" w:rsidRDefault="002A1FD6" w:rsidP="002A1FD6">
      <w:pPr>
        <w:ind w:left="3544" w:hanging="283"/>
      </w:pPr>
    </w:p>
    <w:p w14:paraId="46FB4767" w14:textId="77777777" w:rsidR="00A37A0B" w:rsidRDefault="00A37A0B" w:rsidP="002A1FD6">
      <w:pPr>
        <w:ind w:left="3544" w:hanging="283"/>
      </w:pPr>
    </w:p>
    <w:sectPr w:rsidR="00A37A0B" w:rsidSect="00C97A3A">
      <w:headerReference w:type="default" r:id="rId14"/>
      <w:footerReference w:type="default" r:id="rId15"/>
      <w:pgSz w:w="12240" w:h="15840"/>
      <w:pgMar w:top="1796" w:right="49" w:bottom="14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DA1B" w14:textId="77777777" w:rsidR="00C15463" w:rsidRDefault="00C15463" w:rsidP="00832DC3">
      <w:pPr>
        <w:spacing w:after="0" w:line="240" w:lineRule="auto"/>
      </w:pPr>
      <w:r>
        <w:separator/>
      </w:r>
    </w:p>
  </w:endnote>
  <w:endnote w:type="continuationSeparator" w:id="0">
    <w:p w14:paraId="789EB6E0" w14:textId="77777777" w:rsidR="00C15463" w:rsidRDefault="00C15463" w:rsidP="0083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5CA" w14:textId="15E25F10" w:rsidR="00C97A3A" w:rsidRPr="00C97A3A" w:rsidRDefault="00000000" w:rsidP="00C97A3A">
    <w:pPr>
      <w:pStyle w:val="Footer"/>
      <w:shd w:val="clear" w:color="auto" w:fill="4472C4" w:themeFill="accent1"/>
      <w:ind w:hanging="1418"/>
      <w:jc w:val="center"/>
      <w:rPr>
        <w:b/>
        <w:bCs/>
        <w:color w:val="FFFFFF" w:themeColor="background1"/>
      </w:rPr>
    </w:pPr>
    <w:sdt>
      <w:sdtPr>
        <w:rPr>
          <w:b/>
          <w:bCs/>
          <w:color w:val="FFFFFF" w:themeColor="background1"/>
        </w:rPr>
        <w:id w:val="2015573789"/>
        <w:docPartObj>
          <w:docPartGallery w:val="Page Numbers (Bottom of Page)"/>
          <w:docPartUnique/>
        </w:docPartObj>
      </w:sdtPr>
      <w:sdtEndPr>
        <w:rPr>
          <w:noProof/>
        </w:rPr>
      </w:sdtEndPr>
      <w:sdtContent>
        <w:r w:rsidR="00C97A3A">
          <w:rPr>
            <w:b/>
            <w:bCs/>
            <w:color w:val="FFFFFF" w:themeColor="background1"/>
          </w:rPr>
          <w:t xml:space="preserve">                                                                                                        </w:t>
        </w:r>
        <w:r w:rsidR="00C97A3A" w:rsidRPr="00C97A3A">
          <w:rPr>
            <w:b/>
            <w:bCs/>
            <w:color w:val="FFFFFF" w:themeColor="background1"/>
          </w:rPr>
          <w:fldChar w:fldCharType="begin"/>
        </w:r>
        <w:r w:rsidR="00C97A3A" w:rsidRPr="00C97A3A">
          <w:rPr>
            <w:b/>
            <w:bCs/>
            <w:color w:val="FFFFFF" w:themeColor="background1"/>
          </w:rPr>
          <w:instrText xml:space="preserve"> PAGE   \* MERGEFORMAT </w:instrText>
        </w:r>
        <w:r w:rsidR="00C97A3A" w:rsidRPr="00C97A3A">
          <w:rPr>
            <w:b/>
            <w:bCs/>
            <w:color w:val="FFFFFF" w:themeColor="background1"/>
          </w:rPr>
          <w:fldChar w:fldCharType="separate"/>
        </w:r>
        <w:r w:rsidR="00C97A3A" w:rsidRPr="00C97A3A">
          <w:rPr>
            <w:b/>
            <w:bCs/>
            <w:noProof/>
            <w:color w:val="FFFFFF" w:themeColor="background1"/>
          </w:rPr>
          <w:t>2</w:t>
        </w:r>
        <w:r w:rsidR="00C97A3A" w:rsidRPr="00C97A3A">
          <w:rPr>
            <w:b/>
            <w:bCs/>
            <w:noProof/>
            <w:color w:val="FFFFFF" w:themeColor="background1"/>
          </w:rPr>
          <w:fldChar w:fldCharType="end"/>
        </w:r>
        <w:r w:rsidR="00C97A3A" w:rsidRPr="00C97A3A">
          <w:rPr>
            <w:b/>
            <w:bCs/>
            <w:noProof/>
            <w:color w:val="FFFFFF" w:themeColor="background1"/>
          </w:rPr>
          <w:t xml:space="preserve">                                        </w:t>
        </w:r>
        <w:r w:rsidR="00C97A3A">
          <w:rPr>
            <w:b/>
            <w:bCs/>
            <w:noProof/>
            <w:color w:val="FFFFFF" w:themeColor="background1"/>
          </w:rPr>
          <w:t xml:space="preserve">    </w:t>
        </w:r>
        <w:r w:rsidR="00917875">
          <w:rPr>
            <w:b/>
            <w:bCs/>
            <w:noProof/>
            <w:color w:val="FFFFFF" w:themeColor="background1"/>
          </w:rPr>
          <w:t xml:space="preserve">        </w:t>
        </w:r>
        <w:r w:rsidR="0003185A">
          <w:rPr>
            <w:b/>
            <w:bCs/>
            <w:noProof/>
            <w:color w:val="FFFFFF" w:themeColor="background1"/>
          </w:rPr>
          <w:t xml:space="preserve">  </w:t>
        </w:r>
        <w:r w:rsidR="00C97A3A">
          <w:rPr>
            <w:b/>
            <w:bCs/>
            <w:noProof/>
            <w:color w:val="FFFFFF" w:themeColor="background1"/>
          </w:rPr>
          <w:t xml:space="preserve"> </w:t>
        </w:r>
        <w:r w:rsidR="0003185A">
          <w:rPr>
            <w:b/>
            <w:bCs/>
            <w:noProof/>
            <w:color w:val="FFFFFF" w:themeColor="background1"/>
          </w:rPr>
          <w:t xml:space="preserve">  </w:t>
        </w:r>
        <w:r w:rsidR="00C97A3A" w:rsidRPr="00C97A3A">
          <w:rPr>
            <w:b/>
            <w:bCs/>
            <w:color w:val="FFFFFF" w:themeColor="background1"/>
          </w:rPr>
          <w:t>KDN PP13226/04/2013 (032022)</w:t>
        </w:r>
      </w:sdtContent>
    </w:sdt>
  </w:p>
  <w:p w14:paraId="2C9A18E1" w14:textId="751BA8BA" w:rsidR="00C97A3A" w:rsidRDefault="00C97A3A" w:rsidP="00C97A3A">
    <w:pPr>
      <w:pStyle w:val="Footer"/>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6CF0" w14:textId="77777777" w:rsidR="00C15463" w:rsidRDefault="00C15463" w:rsidP="00832DC3">
      <w:pPr>
        <w:spacing w:after="0" w:line="240" w:lineRule="auto"/>
      </w:pPr>
      <w:r>
        <w:separator/>
      </w:r>
    </w:p>
  </w:footnote>
  <w:footnote w:type="continuationSeparator" w:id="0">
    <w:p w14:paraId="74AF1280" w14:textId="77777777" w:rsidR="00C15463" w:rsidRDefault="00C15463" w:rsidP="0083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1760" w14:textId="522EE623" w:rsidR="00C97A3A" w:rsidRDefault="0051303B">
    <w:pPr>
      <w:pStyle w:val="Header"/>
    </w:pPr>
    <w:r>
      <w:rPr>
        <w:noProof/>
      </w:rPr>
      <mc:AlternateContent>
        <mc:Choice Requires="wps">
          <w:drawing>
            <wp:anchor distT="45720" distB="45720" distL="114300" distR="114300" simplePos="0" relativeHeight="251668480" behindDoc="0" locked="0" layoutInCell="1" allowOverlap="1" wp14:anchorId="1353F3EA" wp14:editId="64A93B2C">
              <wp:simplePos x="0" y="0"/>
              <wp:positionH relativeFrom="column">
                <wp:posOffset>-826135</wp:posOffset>
              </wp:positionH>
              <wp:positionV relativeFrom="paragraph">
                <wp:posOffset>156515</wp:posOffset>
              </wp:positionV>
              <wp:extent cx="1950720" cy="274320"/>
              <wp:effectExtent l="0" t="0" r="0" b="0"/>
              <wp:wrapThrough wrapText="bothSides">
                <wp:wrapPolygon edited="0">
                  <wp:start x="0" y="0"/>
                  <wp:lineTo x="0" y="19500"/>
                  <wp:lineTo x="21305" y="19500"/>
                  <wp:lineTo x="21305" y="0"/>
                  <wp:lineTo x="0" y="0"/>
                </wp:wrapPolygon>
              </wp:wrapThrough>
              <wp:docPr id="323370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74320"/>
                      </a:xfrm>
                      <a:prstGeom prst="rect">
                        <a:avLst/>
                      </a:prstGeom>
                      <a:solidFill>
                        <a:srgbClr val="FFFFFF"/>
                      </a:solidFill>
                      <a:ln w="9525">
                        <a:noFill/>
                        <a:miter lim="800000"/>
                        <a:headEnd/>
                        <a:tailEnd/>
                      </a:ln>
                    </wps:spPr>
                    <wps:txbx>
                      <w:txbxContent>
                        <w:p w14:paraId="31678203" w14:textId="77777777" w:rsidR="0051303B" w:rsidRPr="005E5332" w:rsidRDefault="0051303B" w:rsidP="0051303B">
                          <w:pPr>
                            <w:rPr>
                              <w:sz w:val="18"/>
                              <w:szCs w:val="18"/>
                            </w:rPr>
                          </w:pPr>
                          <w:r w:rsidRPr="005E5332">
                            <w:rPr>
                              <w:rFonts w:ascii="Lucida Sans Unicode" w:hAnsi="Lucida Sans Unicode" w:cs="Lucida Sans Unicode"/>
                              <w:b/>
                              <w:sz w:val="18"/>
                              <w:szCs w:val="18"/>
                            </w:rPr>
                            <w:t>APEX SECURITIES BERHAD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3F3EA" id="_x0000_t202" coordsize="21600,21600" o:spt="202" path="m,l,21600r21600,l21600,xe">
              <v:stroke joinstyle="miter"/>
              <v:path gradientshapeok="t" o:connecttype="rect"/>
            </v:shapetype>
            <v:shape id="_x0000_s1027" type="#_x0000_t202" style="position:absolute;margin-left:-65.05pt;margin-top:12.3pt;width:153.6pt;height:21.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XDCQIAAPY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" stroked="f">
              <v:textbox>
                <w:txbxContent>
                  <w:p w14:paraId="31678203" w14:textId="77777777" w:rsidR="0051303B" w:rsidRPr="005E5332" w:rsidRDefault="0051303B" w:rsidP="0051303B">
                    <w:pPr>
                      <w:rPr>
                        <w:sz w:val="18"/>
                        <w:szCs w:val="18"/>
                      </w:rPr>
                    </w:pPr>
                    <w:r w:rsidRPr="005E5332">
                      <w:rPr>
                        <w:rFonts w:ascii="Lucida Sans Unicode" w:hAnsi="Lucida Sans Unicode" w:cs="Lucida Sans Unicode"/>
                        <w:b/>
                        <w:sz w:val="18"/>
                        <w:szCs w:val="18"/>
                      </w:rPr>
                      <w:t>APEX SECURITIES BERHAD</w:t>
                    </w:r>
                  </w:p>
                </w:txbxContent>
              </v:textbox>
              <w10:wrap type="through"/>
            </v:shape>
          </w:pict>
        </mc:Fallback>
      </mc:AlternateContent>
    </w:r>
    <w:r>
      <w:rPr>
        <w:noProof/>
      </w:rPr>
      <w:drawing>
        <wp:anchor distT="0" distB="0" distL="114300" distR="114300" simplePos="0" relativeHeight="251666432" behindDoc="1" locked="0" layoutInCell="1" allowOverlap="1" wp14:anchorId="12AF7801" wp14:editId="1CDF4546">
          <wp:simplePos x="0" y="0"/>
          <wp:positionH relativeFrom="column">
            <wp:posOffset>-811987</wp:posOffset>
          </wp:positionH>
          <wp:positionV relativeFrom="paragraph">
            <wp:posOffset>-409626</wp:posOffset>
          </wp:positionV>
          <wp:extent cx="1516664" cy="566591"/>
          <wp:effectExtent l="0" t="0" r="7620" b="5080"/>
          <wp:wrapTight wrapText="bothSides">
            <wp:wrapPolygon edited="0">
              <wp:start x="2714" y="0"/>
              <wp:lineTo x="0" y="2179"/>
              <wp:lineTo x="0" y="18161"/>
              <wp:lineTo x="2714" y="21067"/>
              <wp:lineTo x="20352" y="21067"/>
              <wp:lineTo x="21437" y="15982"/>
              <wp:lineTo x="21437" y="4359"/>
              <wp:lineTo x="4613" y="0"/>
              <wp:lineTo x="2714" y="0"/>
            </wp:wrapPolygon>
          </wp:wrapTight>
          <wp:docPr id="1902267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7809" name="Picture 1902267809"/>
                  <pic:cNvPicPr/>
                </pic:nvPicPr>
                <pic:blipFill rotWithShape="1">
                  <a:blip r:embed="rId1" cstate="print">
                    <a:extLst>
                      <a:ext uri="{28A0092B-C50C-407E-A947-70E740481C1C}">
                        <a14:useLocalDpi xmlns:a14="http://schemas.microsoft.com/office/drawing/2010/main" val="0"/>
                      </a:ext>
                    </a:extLst>
                  </a:blip>
                  <a:srcRect l="7128" t="16436" r="6944" b="16975"/>
                  <a:stretch/>
                </pic:blipFill>
                <pic:spPr bwMode="auto">
                  <a:xfrm>
                    <a:off x="0" y="0"/>
                    <a:ext cx="1516664" cy="5665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A3A">
      <w:rPr>
        <w:noProof/>
      </w:rPr>
      <w:t xml:space="preserve"> </w:t>
    </w:r>
  </w:p>
  <w:p w14:paraId="4A76E299" w14:textId="493004A4" w:rsidR="00C97A3A" w:rsidRDefault="00C97A3A">
    <w:pPr>
      <w:pStyle w:val="Header"/>
    </w:pPr>
    <w:r>
      <w:rPr>
        <w:noProof/>
      </w:rPr>
      <mc:AlternateContent>
        <mc:Choice Requires="wps">
          <w:drawing>
            <wp:anchor distT="45720" distB="45720" distL="114300" distR="114300" simplePos="0" relativeHeight="251664384" behindDoc="0" locked="0" layoutInCell="1" allowOverlap="1" wp14:anchorId="7CC1C8FA" wp14:editId="16AA8603">
              <wp:simplePos x="0" y="0"/>
              <wp:positionH relativeFrom="page">
                <wp:posOffset>-115570</wp:posOffset>
              </wp:positionH>
              <wp:positionV relativeFrom="paragraph">
                <wp:posOffset>274392</wp:posOffset>
              </wp:positionV>
              <wp:extent cx="8015604" cy="278129"/>
              <wp:effectExtent l="0" t="0" r="0" b="0"/>
              <wp:wrapThrough wrapText="bothSides">
                <wp:wrapPolygon edited="0">
                  <wp:start x="154" y="0"/>
                  <wp:lineTo x="154" y="19277"/>
                  <wp:lineTo x="21408" y="19277"/>
                  <wp:lineTo x="21408" y="0"/>
                  <wp:lineTo x="154" y="0"/>
                </wp:wrapPolygon>
              </wp:wrapThrough>
              <wp:docPr id="1323274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5604" cy="278129"/>
                      </a:xfrm>
                      <a:prstGeom prst="rect">
                        <a:avLst/>
                      </a:prstGeom>
                      <a:noFill/>
                      <a:ln w="9525">
                        <a:noFill/>
                        <a:miter lim="800000"/>
                        <a:headEnd/>
                        <a:tailEnd/>
                      </a:ln>
                    </wps:spPr>
                    <wps:txbx>
                      <w:txbxContent>
                        <w:p w14:paraId="420A91FE" w14:textId="47A956D6" w:rsidR="00C97A3A" w:rsidRPr="00917875" w:rsidRDefault="00917875" w:rsidP="00BA0A64">
                          <w:pPr>
                            <w:shd w:val="clear" w:color="auto" w:fill="4472C4" w:themeFill="accent1"/>
                            <w:ind w:left="27" w:firstLine="399"/>
                            <w:rPr>
                              <w:b/>
                              <w:bCs/>
                              <w:color w:val="FFFFFF" w:themeColor="background1"/>
                              <w:sz w:val="20"/>
                              <w:szCs w:val="20"/>
                            </w:rPr>
                          </w:pPr>
                          <w:r w:rsidRPr="00917875">
                            <w:rPr>
                              <w:b/>
                              <w:bCs/>
                              <w:color w:val="FFFFFF" w:themeColor="background1"/>
                              <w:sz w:val="20"/>
                              <w:szCs w:val="20"/>
                            </w:rPr>
                            <w:fldChar w:fldCharType="begin"/>
                          </w:r>
                          <w:r w:rsidRPr="00917875">
                            <w:rPr>
                              <w:b/>
                              <w:bCs/>
                              <w:color w:val="FFFFFF" w:themeColor="background1"/>
                              <w:sz w:val="20"/>
                              <w:szCs w:val="20"/>
                            </w:rPr>
                            <w:instrText xml:space="preserve"> DATE \@ "dddd, MMMM d, yyyy" </w:instrText>
                          </w:r>
                          <w:r w:rsidRPr="00917875">
                            <w:rPr>
                              <w:b/>
                              <w:bCs/>
                              <w:color w:val="FFFFFF" w:themeColor="background1"/>
                              <w:sz w:val="20"/>
                              <w:szCs w:val="20"/>
                            </w:rPr>
                            <w:fldChar w:fldCharType="separate"/>
                          </w:r>
                          <w:r w:rsidR="00703F87">
                            <w:rPr>
                              <w:b/>
                              <w:bCs/>
                              <w:noProof/>
                              <w:color w:val="FFFFFF" w:themeColor="background1"/>
                              <w:sz w:val="20"/>
                              <w:szCs w:val="20"/>
                            </w:rPr>
                            <w:t>Wednesday, November 8, 2023</w:t>
                          </w:r>
                          <w:r w:rsidRPr="00917875">
                            <w:rPr>
                              <w:b/>
                              <w:bCs/>
                              <w:color w:val="FFFFFF" w:themeColor="background1"/>
                              <w:sz w:val="20"/>
                              <w:szCs w:val="20"/>
                            </w:rPr>
                            <w:fldChar w:fldCharType="end"/>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950821">
                            <w:rPr>
                              <w:b/>
                              <w:bCs/>
                              <w:color w:val="FFFFFF" w:themeColor="background1"/>
                              <w:sz w:val="20"/>
                              <w:szCs w:val="20"/>
                            </w:rPr>
                            <w:tab/>
                          </w:r>
                          <w:r w:rsidR="00950821">
                            <w:rPr>
                              <w:b/>
                              <w:bCs/>
                              <w:color w:val="FFFFFF" w:themeColor="background1"/>
                              <w:sz w:val="20"/>
                              <w:szCs w:val="20"/>
                            </w:rPr>
                            <w:tab/>
                          </w:r>
                          <w:r w:rsidR="00950821">
                            <w:rPr>
                              <w:b/>
                              <w:bCs/>
                              <w:color w:val="FFFFFF" w:themeColor="background1"/>
                              <w:sz w:val="20"/>
                              <w:szCs w:val="20"/>
                            </w:rPr>
                            <w:tab/>
                          </w:r>
                          <w:r w:rsidR="0047515C">
                            <w:rPr>
                              <w:b/>
                              <w:bCs/>
                              <w:color w:val="FFFFFF" w:themeColor="background1"/>
                              <w:sz w:val="20"/>
                              <w:szCs w:val="20"/>
                            </w:rPr>
                            <w:t xml:space="preserve">    </w:t>
                          </w:r>
                          <w:r w:rsidR="00950821">
                            <w:rPr>
                              <w:b/>
                              <w:bCs/>
                              <w:color w:val="FFFFFF" w:themeColor="background1"/>
                              <w:sz w:val="20"/>
                              <w:szCs w:val="20"/>
                            </w:rPr>
                            <w:t>Company Results</w:t>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1C8FA" id="_x0000_s1028" type="#_x0000_t202" style="position:absolute;margin-left:-9.1pt;margin-top:21.6pt;width:631.15pt;height:21.9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" filled="f" stroked="f">
              <v:textbox>
                <w:txbxContent>
                  <w:p w14:paraId="420A91FE" w14:textId="47A956D6" w:rsidR="00C97A3A" w:rsidRPr="00917875" w:rsidRDefault="00917875" w:rsidP="00BA0A64">
                    <w:pPr>
                      <w:shd w:val="clear" w:color="auto" w:fill="4472C4" w:themeFill="accent1"/>
                      <w:ind w:left="27" w:firstLine="399"/>
                      <w:rPr>
                        <w:b/>
                        <w:bCs/>
                        <w:color w:val="FFFFFF" w:themeColor="background1"/>
                        <w:sz w:val="20"/>
                        <w:szCs w:val="20"/>
                      </w:rPr>
                    </w:pPr>
                    <w:r w:rsidRPr="00917875">
                      <w:rPr>
                        <w:b/>
                        <w:bCs/>
                        <w:color w:val="FFFFFF" w:themeColor="background1"/>
                        <w:sz w:val="20"/>
                        <w:szCs w:val="20"/>
                      </w:rPr>
                      <w:fldChar w:fldCharType="begin"/>
                    </w:r>
                    <w:r w:rsidRPr="00917875">
                      <w:rPr>
                        <w:b/>
                        <w:bCs/>
                        <w:color w:val="FFFFFF" w:themeColor="background1"/>
                        <w:sz w:val="20"/>
                        <w:szCs w:val="20"/>
                      </w:rPr>
                      <w:instrText xml:space="preserve"> DATE \@ "dddd, MMMM d, yyyy" </w:instrText>
                    </w:r>
                    <w:r w:rsidRPr="00917875">
                      <w:rPr>
                        <w:b/>
                        <w:bCs/>
                        <w:color w:val="FFFFFF" w:themeColor="background1"/>
                        <w:sz w:val="20"/>
                        <w:szCs w:val="20"/>
                      </w:rPr>
                      <w:fldChar w:fldCharType="separate"/>
                    </w:r>
                    <w:r w:rsidR="00703F87">
                      <w:rPr>
                        <w:b/>
                        <w:bCs/>
                        <w:noProof/>
                        <w:color w:val="FFFFFF" w:themeColor="background1"/>
                        <w:sz w:val="20"/>
                        <w:szCs w:val="20"/>
                      </w:rPr>
                      <w:t>Wednesday, November 8, 2023</w:t>
                    </w:r>
                    <w:r w:rsidRPr="00917875">
                      <w:rPr>
                        <w:b/>
                        <w:bCs/>
                        <w:color w:val="FFFFFF" w:themeColor="background1"/>
                        <w:sz w:val="20"/>
                        <w:szCs w:val="20"/>
                      </w:rPr>
                      <w:fldChar w:fldCharType="end"/>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BA0A64">
                      <w:rPr>
                        <w:b/>
                        <w:bCs/>
                        <w:color w:val="FFFFFF" w:themeColor="background1"/>
                        <w:sz w:val="20"/>
                        <w:szCs w:val="20"/>
                      </w:rPr>
                      <w:tab/>
                    </w:r>
                    <w:r w:rsidR="00950821">
                      <w:rPr>
                        <w:b/>
                        <w:bCs/>
                        <w:color w:val="FFFFFF" w:themeColor="background1"/>
                        <w:sz w:val="20"/>
                        <w:szCs w:val="20"/>
                      </w:rPr>
                      <w:tab/>
                    </w:r>
                    <w:r w:rsidR="00950821">
                      <w:rPr>
                        <w:b/>
                        <w:bCs/>
                        <w:color w:val="FFFFFF" w:themeColor="background1"/>
                        <w:sz w:val="20"/>
                        <w:szCs w:val="20"/>
                      </w:rPr>
                      <w:tab/>
                    </w:r>
                    <w:r w:rsidR="00950821">
                      <w:rPr>
                        <w:b/>
                        <w:bCs/>
                        <w:color w:val="FFFFFF" w:themeColor="background1"/>
                        <w:sz w:val="20"/>
                        <w:szCs w:val="20"/>
                      </w:rPr>
                      <w:tab/>
                    </w:r>
                    <w:r w:rsidR="0047515C">
                      <w:rPr>
                        <w:b/>
                        <w:bCs/>
                        <w:color w:val="FFFFFF" w:themeColor="background1"/>
                        <w:sz w:val="20"/>
                        <w:szCs w:val="20"/>
                      </w:rPr>
                      <w:t xml:space="preserve">    </w:t>
                    </w:r>
                    <w:r w:rsidR="00950821">
                      <w:rPr>
                        <w:b/>
                        <w:bCs/>
                        <w:color w:val="FFFFFF" w:themeColor="background1"/>
                        <w:sz w:val="20"/>
                        <w:szCs w:val="20"/>
                      </w:rPr>
                      <w:t>Company Results</w:t>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p>
                </w:txbxContent>
              </v:textbox>
              <w10:wrap type="through" anchorx="page"/>
            </v:shape>
          </w:pict>
        </mc:Fallback>
      </mc:AlternateConten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6CF"/>
    <w:multiLevelType w:val="hybridMultilevel"/>
    <w:tmpl w:val="ED4C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19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22"/>
    <w:rsid w:val="0000654F"/>
    <w:rsid w:val="00024A85"/>
    <w:rsid w:val="0003185A"/>
    <w:rsid w:val="000560C4"/>
    <w:rsid w:val="000566DE"/>
    <w:rsid w:val="000B7AB2"/>
    <w:rsid w:val="000C5BD2"/>
    <w:rsid w:val="000D044E"/>
    <w:rsid w:val="000D1C4B"/>
    <w:rsid w:val="000F4EE6"/>
    <w:rsid w:val="001120D4"/>
    <w:rsid w:val="0012273C"/>
    <w:rsid w:val="00171B04"/>
    <w:rsid w:val="0018145A"/>
    <w:rsid w:val="00186ABA"/>
    <w:rsid w:val="001949FB"/>
    <w:rsid w:val="001A350F"/>
    <w:rsid w:val="001B48BD"/>
    <w:rsid w:val="001B703B"/>
    <w:rsid w:val="001C01E9"/>
    <w:rsid w:val="001C3822"/>
    <w:rsid w:val="001F7C07"/>
    <w:rsid w:val="00200B82"/>
    <w:rsid w:val="00220AA2"/>
    <w:rsid w:val="00232836"/>
    <w:rsid w:val="002517E2"/>
    <w:rsid w:val="00255DEE"/>
    <w:rsid w:val="00290D6B"/>
    <w:rsid w:val="00293D87"/>
    <w:rsid w:val="002A1FD6"/>
    <w:rsid w:val="002B7B2B"/>
    <w:rsid w:val="002E4439"/>
    <w:rsid w:val="003052B0"/>
    <w:rsid w:val="003361D1"/>
    <w:rsid w:val="003508D1"/>
    <w:rsid w:val="00397D12"/>
    <w:rsid w:val="003C6603"/>
    <w:rsid w:val="003F1D22"/>
    <w:rsid w:val="003F7DC7"/>
    <w:rsid w:val="004302BF"/>
    <w:rsid w:val="00447545"/>
    <w:rsid w:val="00471FB3"/>
    <w:rsid w:val="0047515C"/>
    <w:rsid w:val="004847CE"/>
    <w:rsid w:val="00492A99"/>
    <w:rsid w:val="004A7D43"/>
    <w:rsid w:val="004C48EA"/>
    <w:rsid w:val="004D4657"/>
    <w:rsid w:val="004E0047"/>
    <w:rsid w:val="004E4550"/>
    <w:rsid w:val="0051303B"/>
    <w:rsid w:val="00535BB9"/>
    <w:rsid w:val="005538FC"/>
    <w:rsid w:val="005555F7"/>
    <w:rsid w:val="00555C9E"/>
    <w:rsid w:val="00560EAF"/>
    <w:rsid w:val="005628BC"/>
    <w:rsid w:val="00581857"/>
    <w:rsid w:val="00585110"/>
    <w:rsid w:val="0059171B"/>
    <w:rsid w:val="005B4ACA"/>
    <w:rsid w:val="005C3245"/>
    <w:rsid w:val="005E6B74"/>
    <w:rsid w:val="0060475B"/>
    <w:rsid w:val="00604C29"/>
    <w:rsid w:val="006642DD"/>
    <w:rsid w:val="006806F7"/>
    <w:rsid w:val="0069338C"/>
    <w:rsid w:val="0069503C"/>
    <w:rsid w:val="006B5D79"/>
    <w:rsid w:val="006C345F"/>
    <w:rsid w:val="006C6C69"/>
    <w:rsid w:val="006F033B"/>
    <w:rsid w:val="00703F87"/>
    <w:rsid w:val="00711221"/>
    <w:rsid w:val="0072459D"/>
    <w:rsid w:val="007303EA"/>
    <w:rsid w:val="00752205"/>
    <w:rsid w:val="007B1168"/>
    <w:rsid w:val="007E1158"/>
    <w:rsid w:val="007E2C69"/>
    <w:rsid w:val="00802718"/>
    <w:rsid w:val="00805834"/>
    <w:rsid w:val="00816071"/>
    <w:rsid w:val="00832DC3"/>
    <w:rsid w:val="00836716"/>
    <w:rsid w:val="00845BE5"/>
    <w:rsid w:val="00853D53"/>
    <w:rsid w:val="00860426"/>
    <w:rsid w:val="00877252"/>
    <w:rsid w:val="008A5512"/>
    <w:rsid w:val="008B52B7"/>
    <w:rsid w:val="008D03B1"/>
    <w:rsid w:val="008D0C93"/>
    <w:rsid w:val="008D28DE"/>
    <w:rsid w:val="0090444D"/>
    <w:rsid w:val="00905688"/>
    <w:rsid w:val="00910758"/>
    <w:rsid w:val="009109E4"/>
    <w:rsid w:val="009145C8"/>
    <w:rsid w:val="00917875"/>
    <w:rsid w:val="00924116"/>
    <w:rsid w:val="00926635"/>
    <w:rsid w:val="00926B6E"/>
    <w:rsid w:val="0094312D"/>
    <w:rsid w:val="00950821"/>
    <w:rsid w:val="00967305"/>
    <w:rsid w:val="00977184"/>
    <w:rsid w:val="00981510"/>
    <w:rsid w:val="009A51CB"/>
    <w:rsid w:val="009B19C1"/>
    <w:rsid w:val="009D3B19"/>
    <w:rsid w:val="00A12986"/>
    <w:rsid w:val="00A13240"/>
    <w:rsid w:val="00A20042"/>
    <w:rsid w:val="00A22303"/>
    <w:rsid w:val="00A37A0B"/>
    <w:rsid w:val="00AC4518"/>
    <w:rsid w:val="00AD40FA"/>
    <w:rsid w:val="00AE520A"/>
    <w:rsid w:val="00AF15A0"/>
    <w:rsid w:val="00AF362C"/>
    <w:rsid w:val="00B153C2"/>
    <w:rsid w:val="00B33F36"/>
    <w:rsid w:val="00B415F7"/>
    <w:rsid w:val="00B439EB"/>
    <w:rsid w:val="00B4411D"/>
    <w:rsid w:val="00B52262"/>
    <w:rsid w:val="00B648F8"/>
    <w:rsid w:val="00B6773D"/>
    <w:rsid w:val="00B97810"/>
    <w:rsid w:val="00BA0A64"/>
    <w:rsid w:val="00BA19B6"/>
    <w:rsid w:val="00BB5357"/>
    <w:rsid w:val="00BD347D"/>
    <w:rsid w:val="00BE2552"/>
    <w:rsid w:val="00BF00B9"/>
    <w:rsid w:val="00C1190C"/>
    <w:rsid w:val="00C15463"/>
    <w:rsid w:val="00C2625A"/>
    <w:rsid w:val="00C53B30"/>
    <w:rsid w:val="00C8237C"/>
    <w:rsid w:val="00C82D17"/>
    <w:rsid w:val="00C97A3A"/>
    <w:rsid w:val="00CA1CDB"/>
    <w:rsid w:val="00CD3BDA"/>
    <w:rsid w:val="00CE299F"/>
    <w:rsid w:val="00CE6EA8"/>
    <w:rsid w:val="00D161B9"/>
    <w:rsid w:val="00D21C95"/>
    <w:rsid w:val="00D31DC3"/>
    <w:rsid w:val="00D41A0F"/>
    <w:rsid w:val="00D45EFF"/>
    <w:rsid w:val="00D625EB"/>
    <w:rsid w:val="00D64ECD"/>
    <w:rsid w:val="00D67783"/>
    <w:rsid w:val="00D82D9F"/>
    <w:rsid w:val="00D838AF"/>
    <w:rsid w:val="00D95FB7"/>
    <w:rsid w:val="00DC2306"/>
    <w:rsid w:val="00DD5B30"/>
    <w:rsid w:val="00DE1A86"/>
    <w:rsid w:val="00DF174F"/>
    <w:rsid w:val="00E043D6"/>
    <w:rsid w:val="00E15C82"/>
    <w:rsid w:val="00E67E9D"/>
    <w:rsid w:val="00E8110D"/>
    <w:rsid w:val="00EB14C9"/>
    <w:rsid w:val="00EB7948"/>
    <w:rsid w:val="00EC5B25"/>
    <w:rsid w:val="00EE7CD1"/>
    <w:rsid w:val="00EF1803"/>
    <w:rsid w:val="00F018B7"/>
    <w:rsid w:val="00F72F4D"/>
    <w:rsid w:val="00FA37A7"/>
    <w:rsid w:val="00FB6841"/>
    <w:rsid w:val="00FB7577"/>
    <w:rsid w:val="00FF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523B"/>
  <w15:chartTrackingRefBased/>
  <w15:docId w15:val="{48961B80-0134-4B65-B770-202FB69D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426"/>
    <w:rPr>
      <w:color w:val="0563C1" w:themeColor="hyperlink"/>
      <w:u w:val="single"/>
    </w:rPr>
  </w:style>
  <w:style w:type="character" w:styleId="UnresolvedMention">
    <w:name w:val="Unresolved Mention"/>
    <w:basedOn w:val="DefaultParagraphFont"/>
    <w:uiPriority w:val="99"/>
    <w:semiHidden/>
    <w:unhideWhenUsed/>
    <w:rsid w:val="00860426"/>
    <w:rPr>
      <w:color w:val="605E5C"/>
      <w:shd w:val="clear" w:color="auto" w:fill="E1DFDD"/>
    </w:rPr>
  </w:style>
  <w:style w:type="table" w:styleId="TableGrid">
    <w:name w:val="Table Grid"/>
    <w:basedOn w:val="TableNormal"/>
    <w:uiPriority w:val="59"/>
    <w:rsid w:val="00DE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2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32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DC3"/>
  </w:style>
  <w:style w:type="paragraph" w:styleId="Footer">
    <w:name w:val="footer"/>
    <w:basedOn w:val="Normal"/>
    <w:link w:val="FooterChar"/>
    <w:uiPriority w:val="99"/>
    <w:unhideWhenUsed/>
    <w:rsid w:val="00832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DC3"/>
  </w:style>
  <w:style w:type="paragraph" w:styleId="ListParagraph">
    <w:name w:val="List Paragraph"/>
    <w:basedOn w:val="Normal"/>
    <w:uiPriority w:val="34"/>
    <w:qFormat/>
    <w:rsid w:val="00832DC3"/>
    <w:pPr>
      <w:ind w:left="720"/>
      <w:contextualSpacing/>
    </w:pPr>
  </w:style>
  <w:style w:type="paragraph" w:styleId="NoSpacing">
    <w:name w:val="No Spacing"/>
    <w:uiPriority w:val="1"/>
    <w:qFormat/>
    <w:rsid w:val="00832DC3"/>
    <w:pPr>
      <w:spacing w:after="0" w:line="240" w:lineRule="auto"/>
    </w:pPr>
  </w:style>
  <w:style w:type="paragraph" w:styleId="BalloonText">
    <w:name w:val="Balloon Text"/>
    <w:basedOn w:val="Normal"/>
    <w:link w:val="BalloonTextChar"/>
    <w:semiHidden/>
    <w:unhideWhenUsed/>
    <w:rsid w:val="00A37A0B"/>
    <w:pPr>
      <w:spacing w:after="0" w:line="240" w:lineRule="auto"/>
    </w:pPr>
    <w:rPr>
      <w:rFonts w:ascii="Tahoma" w:eastAsia="Times New Roman" w:hAnsi="Tahoma" w:cs="Tahoma"/>
      <w:kern w:val="0"/>
      <w:sz w:val="16"/>
      <w:szCs w:val="16"/>
      <w:lang w:val="en-AU"/>
      <w14:ligatures w14:val="none"/>
    </w:rPr>
  </w:style>
  <w:style w:type="character" w:customStyle="1" w:styleId="BalloonTextChar">
    <w:name w:val="Balloon Text Char"/>
    <w:basedOn w:val="DefaultParagraphFont"/>
    <w:link w:val="BalloonText"/>
    <w:semiHidden/>
    <w:rsid w:val="00A37A0B"/>
    <w:rPr>
      <w:rFonts w:ascii="Tahoma" w:eastAsia="Times New Roman" w:hAnsi="Tahoma" w:cs="Tahoma"/>
      <w:kern w:val="0"/>
      <w:sz w:val="16"/>
      <w:szCs w:val="16"/>
      <w:lang w:val="en-AU"/>
      <w14:ligatures w14:val="none"/>
    </w:rPr>
  </w:style>
  <w:style w:type="paragraph" w:styleId="BodyText">
    <w:name w:val="Body Text"/>
    <w:aliases w:val="Body Text1,Body Text Char Char,Body Text Char Char Char Char Char Char,Body Text Char Char Char Char Char Char Char Char Char Char Char Char Char Char Char Char Char Char Char Char Char Char Char Char,Body Text3 Char Char,Body Text3"/>
    <w:basedOn w:val="Normal"/>
    <w:link w:val="BodyTextChar"/>
    <w:semiHidden/>
    <w:rsid w:val="00A37A0B"/>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aliases w:val="Body Text1 Char,Body Text Char Char Char,Body Text Char Char Char Char Char Char Char,Body Text Char Char Char Char Char Char Char Char Char Char Char Char Char Char Char Char Char Char Char Char Char Char Char Char Char,Body Text3 Char"/>
    <w:basedOn w:val="DefaultParagraphFont"/>
    <w:link w:val="BodyText"/>
    <w:semiHidden/>
    <w:rsid w:val="00A37A0B"/>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590">
      <w:bodyDiv w:val="1"/>
      <w:marLeft w:val="0"/>
      <w:marRight w:val="0"/>
      <w:marTop w:val="0"/>
      <w:marBottom w:val="0"/>
      <w:divBdr>
        <w:top w:val="none" w:sz="0" w:space="0" w:color="auto"/>
        <w:left w:val="none" w:sz="0" w:space="0" w:color="auto"/>
        <w:bottom w:val="none" w:sz="0" w:space="0" w:color="auto"/>
        <w:right w:val="none" w:sz="0" w:space="0" w:color="auto"/>
      </w:divBdr>
    </w:div>
    <w:div w:id="247812197">
      <w:bodyDiv w:val="1"/>
      <w:marLeft w:val="0"/>
      <w:marRight w:val="0"/>
      <w:marTop w:val="0"/>
      <w:marBottom w:val="0"/>
      <w:divBdr>
        <w:top w:val="none" w:sz="0" w:space="0" w:color="auto"/>
        <w:left w:val="none" w:sz="0" w:space="0" w:color="auto"/>
        <w:bottom w:val="none" w:sz="0" w:space="0" w:color="auto"/>
        <w:right w:val="none" w:sz="0" w:space="0" w:color="auto"/>
      </w:divBdr>
    </w:div>
    <w:div w:id="1113524691">
      <w:bodyDiv w:val="1"/>
      <w:marLeft w:val="0"/>
      <w:marRight w:val="0"/>
      <w:marTop w:val="0"/>
      <w:marBottom w:val="0"/>
      <w:divBdr>
        <w:top w:val="none" w:sz="0" w:space="0" w:color="auto"/>
        <w:left w:val="none" w:sz="0" w:space="0" w:color="auto"/>
        <w:bottom w:val="none" w:sz="0" w:space="0" w:color="auto"/>
        <w:right w:val="none" w:sz="0" w:space="0" w:color="auto"/>
      </w:divBdr>
    </w:div>
    <w:div w:id="1160275165">
      <w:bodyDiv w:val="1"/>
      <w:marLeft w:val="0"/>
      <w:marRight w:val="0"/>
      <w:marTop w:val="0"/>
      <w:marBottom w:val="0"/>
      <w:divBdr>
        <w:top w:val="none" w:sz="0" w:space="0" w:color="auto"/>
        <w:left w:val="none" w:sz="0" w:space="0" w:color="auto"/>
        <w:bottom w:val="none" w:sz="0" w:space="0" w:color="auto"/>
        <w:right w:val="none" w:sz="0" w:space="0" w:color="auto"/>
      </w:divBdr>
    </w:div>
    <w:div w:id="1211193050">
      <w:bodyDiv w:val="1"/>
      <w:marLeft w:val="0"/>
      <w:marRight w:val="0"/>
      <w:marTop w:val="0"/>
      <w:marBottom w:val="0"/>
      <w:divBdr>
        <w:top w:val="none" w:sz="0" w:space="0" w:color="auto"/>
        <w:left w:val="none" w:sz="0" w:space="0" w:color="auto"/>
        <w:bottom w:val="none" w:sz="0" w:space="0" w:color="auto"/>
        <w:right w:val="none" w:sz="0" w:space="0" w:color="auto"/>
      </w:divBdr>
    </w:div>
    <w:div w:id="1248080459">
      <w:bodyDiv w:val="1"/>
      <w:marLeft w:val="0"/>
      <w:marRight w:val="0"/>
      <w:marTop w:val="0"/>
      <w:marBottom w:val="0"/>
      <w:divBdr>
        <w:top w:val="none" w:sz="0" w:space="0" w:color="auto"/>
        <w:left w:val="none" w:sz="0" w:space="0" w:color="auto"/>
        <w:bottom w:val="none" w:sz="0" w:space="0" w:color="auto"/>
        <w:right w:val="none" w:sz="0" w:space="0" w:color="auto"/>
      </w:divBdr>
    </w:div>
    <w:div w:id="1258443307">
      <w:bodyDiv w:val="1"/>
      <w:marLeft w:val="0"/>
      <w:marRight w:val="0"/>
      <w:marTop w:val="0"/>
      <w:marBottom w:val="0"/>
      <w:divBdr>
        <w:top w:val="none" w:sz="0" w:space="0" w:color="auto"/>
        <w:left w:val="none" w:sz="0" w:space="0" w:color="auto"/>
        <w:bottom w:val="none" w:sz="0" w:space="0" w:color="auto"/>
        <w:right w:val="none" w:sz="0" w:space="0" w:color="auto"/>
      </w:divBdr>
    </w:div>
    <w:div w:id="1418551886">
      <w:bodyDiv w:val="1"/>
      <w:marLeft w:val="0"/>
      <w:marRight w:val="0"/>
      <w:marTop w:val="0"/>
      <w:marBottom w:val="0"/>
      <w:divBdr>
        <w:top w:val="none" w:sz="0" w:space="0" w:color="auto"/>
        <w:left w:val="none" w:sz="0" w:space="0" w:color="auto"/>
        <w:bottom w:val="none" w:sz="0" w:space="0" w:color="auto"/>
        <w:right w:val="none" w:sz="0" w:space="0" w:color="auto"/>
      </w:divBdr>
    </w:div>
    <w:div w:id="1483887755">
      <w:bodyDiv w:val="1"/>
      <w:marLeft w:val="0"/>
      <w:marRight w:val="0"/>
      <w:marTop w:val="0"/>
      <w:marBottom w:val="0"/>
      <w:divBdr>
        <w:top w:val="none" w:sz="0" w:space="0" w:color="auto"/>
        <w:left w:val="none" w:sz="0" w:space="0" w:color="auto"/>
        <w:bottom w:val="none" w:sz="0" w:space="0" w:color="auto"/>
        <w:right w:val="none" w:sz="0" w:space="0" w:color="auto"/>
      </w:divBdr>
    </w:div>
    <w:div w:id="1484199352">
      <w:bodyDiv w:val="1"/>
      <w:marLeft w:val="0"/>
      <w:marRight w:val="0"/>
      <w:marTop w:val="0"/>
      <w:marBottom w:val="0"/>
      <w:divBdr>
        <w:top w:val="none" w:sz="0" w:space="0" w:color="auto"/>
        <w:left w:val="none" w:sz="0" w:space="0" w:color="auto"/>
        <w:bottom w:val="none" w:sz="0" w:space="0" w:color="auto"/>
        <w:right w:val="none" w:sz="0" w:space="0" w:color="auto"/>
      </w:divBdr>
    </w:div>
    <w:div w:id="1556818265">
      <w:bodyDiv w:val="1"/>
      <w:marLeft w:val="0"/>
      <w:marRight w:val="0"/>
      <w:marTop w:val="0"/>
      <w:marBottom w:val="0"/>
      <w:divBdr>
        <w:top w:val="none" w:sz="0" w:space="0" w:color="auto"/>
        <w:left w:val="none" w:sz="0" w:space="0" w:color="auto"/>
        <w:bottom w:val="none" w:sz="0" w:space="0" w:color="auto"/>
        <w:right w:val="none" w:sz="0" w:space="0" w:color="auto"/>
      </w:divBdr>
    </w:div>
    <w:div w:id="17467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G:\My%20Drive\Kenneth\Coverage\Hartalega%20Holdings%20Bhd\Hartalega%20Holdings%20Spreadsheet%20-%202QFY24.xlsx!Financial%20Highlights!R3C1:R43C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file:///G:\My%20Drive\Kenneth\Coverage\Hartalega%20Holdings%20Bhd\Hartalega%20Holdings%20Spreadsheet%20-%202QFY24.xlsx!Sidebar!R2C2:R46C5" TargetMode="External"/><Relationship Id="rId4" Type="http://schemas.openxmlformats.org/officeDocument/2006/relationships/settings" Target="settings.xml"/><Relationship Id="rId9" Type="http://schemas.openxmlformats.org/officeDocument/2006/relationships/oleObject" Target="file:///G:\My%20Drive\Kenneth\Coverage\Hartalega%20Holdings%20Bhd\Hartalega%20Holdings%20Spreadsheet%20-%202QFY24.xlsx!Sidebar!R2C2:R46C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nneth%20APEX\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5BE5-83FC-490B-8DF0-98DEAA2B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836</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Research-Bloomberg</cp:lastModifiedBy>
  <cp:revision>103</cp:revision>
  <cp:lastPrinted>2023-11-07T22:13:00Z</cp:lastPrinted>
  <dcterms:created xsi:type="dcterms:W3CDTF">2023-08-28T08:39:00Z</dcterms:created>
  <dcterms:modified xsi:type="dcterms:W3CDTF">2023-11-07T22:14:00Z</dcterms:modified>
</cp:coreProperties>
</file>